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477" w14:textId="1EE5362A" w:rsidR="00325422" w:rsidRPr="004D621E" w:rsidRDefault="00B06052" w:rsidP="00325422">
      <w:pPr>
        <w:spacing w:after="0" w:line="276" w:lineRule="auto"/>
        <w:ind w:left="0" w:firstLine="0"/>
        <w:jc w:val="center"/>
        <w:rPr>
          <w:lang w:val="en-GB"/>
        </w:rPr>
      </w:pPr>
      <w:r w:rsidRPr="004D621E">
        <w:rPr>
          <w:lang w:val="en-GB"/>
        </w:rPr>
        <w:t>Course description form</w:t>
      </w:r>
      <w:r w:rsidR="00325422" w:rsidRPr="004D621E">
        <w:rPr>
          <w:lang w:val="en-GB"/>
        </w:rPr>
        <w:t xml:space="preserve"> (</w:t>
      </w:r>
      <w:r w:rsidRPr="004D621E">
        <w:rPr>
          <w:lang w:val="en-GB"/>
        </w:rPr>
        <w:t>syllabus form</w:t>
      </w:r>
      <w:r w:rsidR="00325422" w:rsidRPr="004D621E">
        <w:rPr>
          <w:lang w:val="en-GB"/>
        </w:rPr>
        <w:t xml:space="preserve">) – </w:t>
      </w:r>
      <w:r w:rsidRPr="004D621E">
        <w:rPr>
          <w:lang w:val="en-GB"/>
        </w:rPr>
        <w:t>for 1</w:t>
      </w:r>
      <w:r w:rsidRPr="004D621E">
        <w:rPr>
          <w:vertAlign w:val="superscript"/>
          <w:lang w:val="en-GB"/>
        </w:rPr>
        <w:t>st</w:t>
      </w:r>
      <w:r w:rsidRPr="004D621E">
        <w:rPr>
          <w:lang w:val="en-GB"/>
        </w:rPr>
        <w:t xml:space="preserve"> and 2</w:t>
      </w:r>
      <w:r w:rsidRPr="004D621E">
        <w:rPr>
          <w:vertAlign w:val="superscript"/>
          <w:lang w:val="en-GB"/>
        </w:rPr>
        <w:t>nd</w:t>
      </w:r>
      <w:r w:rsidRPr="004D621E">
        <w:rPr>
          <w:lang w:val="en-GB"/>
        </w:rPr>
        <w:t xml:space="preserve"> cycle studies</w:t>
      </w:r>
    </w:p>
    <w:p w14:paraId="68145C5C" w14:textId="77777777" w:rsidR="00325422" w:rsidRPr="004D621E" w:rsidRDefault="00325422" w:rsidP="00325422">
      <w:pPr>
        <w:spacing w:after="0" w:line="276" w:lineRule="auto"/>
        <w:ind w:left="0" w:firstLine="0"/>
        <w:rPr>
          <w:lang w:val="en-GB"/>
        </w:rPr>
      </w:pPr>
    </w:p>
    <w:p w14:paraId="70281B2C" w14:textId="4B1B3114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A. </w:t>
      </w:r>
      <w:r w:rsidR="00B06052" w:rsidRPr="004D621E">
        <w:rPr>
          <w:b/>
        </w:rPr>
        <w:t>General data</w:t>
      </w:r>
      <w:r w:rsidRPr="004D621E">
        <w:rPr>
          <w:b/>
        </w:rPr>
        <w:t xml:space="preserve">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5525"/>
        <w:gridCol w:w="2427"/>
      </w:tblGrid>
      <w:tr w:rsidR="00325422" w:rsidRPr="004D621E" w14:paraId="17839006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42C" w14:textId="08BF2DD8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r w:rsidRPr="004D621E">
              <w:rPr>
                <w:b/>
              </w:rPr>
              <w:t>Content</w:t>
            </w:r>
            <w:r w:rsidR="00325422" w:rsidRPr="004D621E">
              <w:rPr>
                <w:b/>
              </w:rPr>
              <w:t xml:space="preserve"> </w:t>
            </w:r>
          </w:p>
        </w:tc>
      </w:tr>
      <w:tr w:rsidR="00325422" w:rsidRPr="00623A57" w14:paraId="767625B7" w14:textId="77777777" w:rsidTr="00883FAD">
        <w:trPr>
          <w:trHeight w:val="218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2B2D89D6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title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5B" w14:textId="37DC9500" w:rsidR="00325422" w:rsidRPr="00623A57" w:rsidRDefault="00325422" w:rsidP="004D621E">
            <w:pPr>
              <w:spacing w:after="0" w:line="276" w:lineRule="auto"/>
              <w:ind w:left="1" w:firstLine="0"/>
              <w:rPr>
                <w:lang w:val="en-US"/>
              </w:rPr>
            </w:pPr>
            <w:r w:rsidRPr="00623A57">
              <w:rPr>
                <w:lang w:val="en-US"/>
              </w:rPr>
              <w:t xml:space="preserve"> </w:t>
            </w:r>
            <w:r w:rsidR="00623A57" w:rsidRPr="00623A57">
              <w:rPr>
                <w:rFonts w:ascii="Segoe UI" w:hAnsi="Segoe UI" w:cs="Segoe UI"/>
                <w:color w:val="353838"/>
                <w:sz w:val="20"/>
                <w:szCs w:val="20"/>
                <w:lang w:val="en-US"/>
              </w:rPr>
              <w:t>Cases in Internal Control, Ethics and Accounting Fraud</w:t>
            </w:r>
          </w:p>
        </w:tc>
      </w:tr>
      <w:tr w:rsidR="00325422" w:rsidRPr="004D621E" w14:paraId="3EBB86AA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Organizational</w:t>
            </w:r>
            <w:proofErr w:type="spellEnd"/>
            <w:r w:rsidRPr="004D621E">
              <w:t xml:space="preserve"> unit: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F84" w14:textId="6863DE8F" w:rsidR="00325422" w:rsidRPr="00623A57" w:rsidRDefault="00325422" w:rsidP="004D621E">
            <w:pPr>
              <w:spacing w:after="0" w:line="276" w:lineRule="auto"/>
              <w:ind w:left="1" w:firstLine="0"/>
              <w:rPr>
                <w:rFonts w:ascii="Segoe UI" w:hAnsi="Segoe UI" w:cs="Segoe UI"/>
                <w:sz w:val="20"/>
                <w:szCs w:val="20"/>
              </w:rPr>
            </w:pPr>
            <w:r w:rsidRPr="00623A5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23A57" w:rsidRPr="00623A57">
              <w:rPr>
                <w:rFonts w:ascii="Segoe UI" w:hAnsi="Segoe UI" w:cs="Segoe UI"/>
                <w:sz w:val="20"/>
                <w:szCs w:val="20"/>
              </w:rPr>
              <w:t>Faculty of Management</w:t>
            </w:r>
          </w:p>
        </w:tc>
      </w:tr>
      <w:tr w:rsidR="00325422" w:rsidRPr="00623A57" w14:paraId="595A40A2" w14:textId="77777777" w:rsidTr="00883FAD">
        <w:trPr>
          <w:trHeight w:val="217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Organizational unit where the course is offered: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687" w14:textId="2CA26062" w:rsidR="00325422" w:rsidRPr="00623A57" w:rsidRDefault="00325422" w:rsidP="004D621E">
            <w:pPr>
              <w:spacing w:after="0" w:line="276" w:lineRule="auto"/>
              <w:ind w:left="1" w:firstLine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23A57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623A57" w:rsidRPr="00623A57">
              <w:rPr>
                <w:rFonts w:ascii="Segoe UI" w:hAnsi="Segoe UI" w:cs="Segoe UI"/>
                <w:sz w:val="20"/>
                <w:szCs w:val="20"/>
              </w:rPr>
              <w:t>Faculty of Management</w:t>
            </w:r>
          </w:p>
        </w:tc>
      </w:tr>
      <w:tr w:rsidR="00325422" w:rsidRPr="004D621E" w14:paraId="6E85B401" w14:textId="77777777" w:rsidTr="00883FAD">
        <w:trPr>
          <w:trHeight w:val="214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Course ID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819A" w14:textId="77777777" w:rsidR="00325422" w:rsidRPr="00623A57" w:rsidRDefault="00325422" w:rsidP="004D621E">
            <w:pPr>
              <w:spacing w:after="0" w:line="276" w:lineRule="auto"/>
              <w:ind w:left="1" w:firstLine="0"/>
              <w:rPr>
                <w:rFonts w:ascii="Segoe UI" w:hAnsi="Segoe UI" w:cs="Segoe UI"/>
                <w:sz w:val="20"/>
                <w:szCs w:val="20"/>
              </w:rPr>
            </w:pPr>
            <w:r w:rsidRPr="00623A5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325422" w:rsidRPr="004D621E" w14:paraId="2A48BBA1" w14:textId="77777777" w:rsidTr="00883FAD">
        <w:trPr>
          <w:trHeight w:val="220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Erasmus </w:t>
            </w:r>
            <w:proofErr w:type="spellStart"/>
            <w:r w:rsidRPr="004D621E">
              <w:t>code</w:t>
            </w:r>
            <w:proofErr w:type="spellEnd"/>
            <w:r w:rsidRPr="004D621E">
              <w:t xml:space="preserve"> / ISCED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B15" w14:textId="7BD50A59" w:rsidR="00325422" w:rsidRPr="00623A57" w:rsidRDefault="00325422" w:rsidP="004D621E">
            <w:pPr>
              <w:spacing w:after="0" w:line="276" w:lineRule="auto"/>
              <w:ind w:left="1" w:firstLine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23A5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623A57" w:rsidRPr="00623A57">
              <w:rPr>
                <w:rFonts w:ascii="Segoe UI" w:hAnsi="Segoe UI" w:cs="Segoe UI"/>
                <w:bCs/>
                <w:sz w:val="20"/>
                <w:szCs w:val="20"/>
              </w:rPr>
              <w:t>2600-ERSM1CICEAF</w:t>
            </w:r>
          </w:p>
        </w:tc>
      </w:tr>
      <w:tr w:rsidR="00325422" w:rsidRPr="004D621E" w14:paraId="16B1A5A9" w14:textId="77777777" w:rsidTr="00883FAD">
        <w:trPr>
          <w:trHeight w:val="215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groups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B79EF" w14:textId="77777777" w:rsidR="00325422" w:rsidRPr="00623A57" w:rsidRDefault="00325422" w:rsidP="004D621E">
            <w:pPr>
              <w:spacing w:after="0" w:line="276" w:lineRule="auto"/>
              <w:ind w:left="1" w:firstLine="0"/>
              <w:rPr>
                <w:rFonts w:ascii="Segoe UI" w:hAnsi="Segoe UI" w:cs="Segoe UI"/>
                <w:sz w:val="20"/>
                <w:szCs w:val="20"/>
              </w:rPr>
            </w:pPr>
            <w:r w:rsidRPr="00623A5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325422" w:rsidRPr="00623A57" w14:paraId="25593A25" w14:textId="77777777" w:rsidTr="00883FAD">
        <w:trPr>
          <w:trHeight w:val="217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Period when the course is offered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29B" w14:textId="7E41121F" w:rsidR="00325422" w:rsidRPr="00623A57" w:rsidRDefault="00325422" w:rsidP="004D621E">
            <w:pPr>
              <w:spacing w:after="0" w:line="276" w:lineRule="auto"/>
              <w:ind w:left="1" w:firstLine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23A57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623A57">
              <w:rPr>
                <w:rFonts w:ascii="Segoe UI" w:hAnsi="Segoe UI" w:cs="Segoe UI"/>
                <w:sz w:val="20"/>
                <w:szCs w:val="20"/>
                <w:lang w:val="en-GB"/>
              </w:rPr>
              <w:t>3 – 4 April 2024</w:t>
            </w:r>
          </w:p>
        </w:tc>
      </w:tr>
      <w:tr w:rsidR="00325422" w:rsidRPr="004D621E" w14:paraId="16B3CC5B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Short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5E8" w14:textId="2791310D" w:rsidR="00325422" w:rsidRPr="00D241CB" w:rsidRDefault="00D241CB" w:rsidP="00D241CB">
            <w:pPr>
              <w:rPr>
                <w:sz w:val="16"/>
                <w:szCs w:val="16"/>
              </w:rPr>
            </w:pPr>
            <w:r w:rsidRPr="00D241CB">
              <w:rPr>
                <w:sz w:val="16"/>
                <w:szCs w:val="16"/>
              </w:rPr>
              <w:t xml:space="preserve">The </w:t>
            </w:r>
            <w:proofErr w:type="spellStart"/>
            <w:r w:rsidRPr="00D241CB">
              <w:rPr>
                <w:sz w:val="16"/>
                <w:szCs w:val="16"/>
              </w:rPr>
              <w:t>course</w:t>
            </w:r>
            <w:proofErr w:type="spellEnd"/>
            <w:r w:rsidRPr="00D241CB">
              <w:rPr>
                <w:sz w:val="16"/>
                <w:szCs w:val="16"/>
              </w:rPr>
              <w:t xml:space="preserve"> </w:t>
            </w:r>
            <w:proofErr w:type="spellStart"/>
            <w:r w:rsidRPr="00D241CB">
              <w:rPr>
                <w:sz w:val="16"/>
                <w:szCs w:val="16"/>
              </w:rPr>
              <w:t>examines</w:t>
            </w:r>
            <w:proofErr w:type="spellEnd"/>
            <w:r w:rsidRPr="00D241CB">
              <w:rPr>
                <w:sz w:val="16"/>
                <w:szCs w:val="16"/>
              </w:rPr>
              <w:t xml:space="preserve"> the </w:t>
            </w:r>
            <w:proofErr w:type="spellStart"/>
            <w:r w:rsidRPr="00D241CB">
              <w:rPr>
                <w:sz w:val="16"/>
                <w:szCs w:val="16"/>
              </w:rPr>
              <w:t>importance</w:t>
            </w:r>
            <w:proofErr w:type="spellEnd"/>
            <w:r w:rsidRPr="00D241CB">
              <w:rPr>
                <w:sz w:val="16"/>
                <w:szCs w:val="16"/>
              </w:rPr>
              <w:t xml:space="preserve"> of </w:t>
            </w:r>
            <w:proofErr w:type="spellStart"/>
            <w:r w:rsidRPr="00D241CB">
              <w:rPr>
                <w:sz w:val="16"/>
                <w:szCs w:val="16"/>
              </w:rPr>
              <w:t>internal</w:t>
            </w:r>
            <w:proofErr w:type="spellEnd"/>
            <w:r w:rsidRPr="00D241CB">
              <w:rPr>
                <w:sz w:val="16"/>
                <w:szCs w:val="16"/>
              </w:rPr>
              <w:t xml:space="preserve"> </w:t>
            </w:r>
            <w:proofErr w:type="spellStart"/>
            <w:r w:rsidRPr="00D241CB">
              <w:rPr>
                <w:sz w:val="16"/>
                <w:szCs w:val="16"/>
              </w:rPr>
              <w:t>control</w:t>
            </w:r>
            <w:proofErr w:type="spellEnd"/>
            <w:r w:rsidRPr="00D241CB">
              <w:rPr>
                <w:sz w:val="16"/>
                <w:szCs w:val="16"/>
              </w:rPr>
              <w:t xml:space="preserve"> as a </w:t>
            </w:r>
            <w:proofErr w:type="spellStart"/>
            <w:r w:rsidRPr="00D241CB">
              <w:rPr>
                <w:sz w:val="16"/>
                <w:szCs w:val="16"/>
              </w:rPr>
              <w:t>foundation</w:t>
            </w:r>
            <w:proofErr w:type="spellEnd"/>
            <w:r w:rsidRPr="00D241CB">
              <w:rPr>
                <w:sz w:val="16"/>
                <w:szCs w:val="16"/>
              </w:rPr>
              <w:t xml:space="preserve"> for the </w:t>
            </w:r>
            <w:proofErr w:type="spellStart"/>
            <w:r w:rsidRPr="00D241CB">
              <w:rPr>
                <w:sz w:val="16"/>
                <w:szCs w:val="16"/>
              </w:rPr>
              <w:t>successful</w:t>
            </w:r>
            <w:proofErr w:type="spellEnd"/>
            <w:r w:rsidRPr="00D241CB">
              <w:rPr>
                <w:sz w:val="16"/>
                <w:szCs w:val="16"/>
              </w:rPr>
              <w:t xml:space="preserve"> </w:t>
            </w:r>
            <w:proofErr w:type="spellStart"/>
            <w:r w:rsidRPr="00D241CB">
              <w:rPr>
                <w:sz w:val="16"/>
                <w:szCs w:val="16"/>
              </w:rPr>
              <w:t>operation</w:t>
            </w:r>
            <w:proofErr w:type="spellEnd"/>
            <w:r w:rsidRPr="00D241CB">
              <w:rPr>
                <w:sz w:val="16"/>
                <w:szCs w:val="16"/>
              </w:rPr>
              <w:t xml:space="preserve"> of business </w:t>
            </w:r>
            <w:proofErr w:type="spellStart"/>
            <w:r w:rsidRPr="00D241CB">
              <w:rPr>
                <w:sz w:val="16"/>
                <w:szCs w:val="16"/>
              </w:rPr>
              <w:t>organizations</w:t>
            </w:r>
            <w:proofErr w:type="spellEnd"/>
            <w:r w:rsidRPr="00D241CB">
              <w:rPr>
                <w:sz w:val="16"/>
                <w:szCs w:val="16"/>
              </w:rPr>
              <w:t xml:space="preserve"> and </w:t>
            </w:r>
            <w:proofErr w:type="spellStart"/>
            <w:r w:rsidRPr="00D241CB">
              <w:rPr>
                <w:sz w:val="16"/>
                <w:szCs w:val="16"/>
              </w:rPr>
              <w:t>why</w:t>
            </w:r>
            <w:proofErr w:type="spellEnd"/>
            <w:r w:rsidRPr="00D241CB">
              <w:rPr>
                <w:sz w:val="16"/>
                <w:szCs w:val="16"/>
              </w:rPr>
              <w:t xml:space="preserve"> </w:t>
            </w:r>
            <w:proofErr w:type="spellStart"/>
            <w:r w:rsidRPr="00D241CB">
              <w:rPr>
                <w:sz w:val="16"/>
                <w:szCs w:val="16"/>
              </w:rPr>
              <w:t>it</w:t>
            </w:r>
            <w:proofErr w:type="spellEnd"/>
            <w:r w:rsidRPr="00D241CB">
              <w:rPr>
                <w:sz w:val="16"/>
                <w:szCs w:val="16"/>
              </w:rPr>
              <w:t xml:space="preserve"> </w:t>
            </w:r>
            <w:proofErr w:type="spellStart"/>
            <w:r w:rsidRPr="00D241CB">
              <w:rPr>
                <w:sz w:val="16"/>
                <w:szCs w:val="16"/>
              </w:rPr>
              <w:t>is</w:t>
            </w:r>
            <w:proofErr w:type="spellEnd"/>
            <w:r w:rsidRPr="00D241CB">
              <w:rPr>
                <w:sz w:val="16"/>
                <w:szCs w:val="16"/>
              </w:rPr>
              <w:t xml:space="preserve"> </w:t>
            </w:r>
            <w:proofErr w:type="spellStart"/>
            <w:r w:rsidRPr="00D241CB">
              <w:rPr>
                <w:sz w:val="16"/>
                <w:szCs w:val="16"/>
              </w:rPr>
              <w:t>important</w:t>
            </w:r>
            <w:proofErr w:type="spellEnd"/>
            <w:r w:rsidRPr="00D241CB">
              <w:rPr>
                <w:sz w:val="16"/>
                <w:szCs w:val="16"/>
              </w:rPr>
              <w:t xml:space="preserve"> in </w:t>
            </w:r>
            <w:proofErr w:type="spellStart"/>
            <w:r w:rsidRPr="00D241CB">
              <w:rPr>
                <w:sz w:val="16"/>
                <w:szCs w:val="16"/>
              </w:rPr>
              <w:t>its</w:t>
            </w:r>
            <w:proofErr w:type="spellEnd"/>
            <w:r w:rsidRPr="00D241CB">
              <w:rPr>
                <w:sz w:val="16"/>
                <w:szCs w:val="16"/>
              </w:rPr>
              <w:t xml:space="preserve"> </w:t>
            </w:r>
            <w:proofErr w:type="spellStart"/>
            <w:r w:rsidRPr="00D241CB">
              <w:rPr>
                <w:sz w:val="16"/>
                <w:szCs w:val="16"/>
              </w:rPr>
              <w:t>intersection</w:t>
            </w:r>
            <w:proofErr w:type="spellEnd"/>
            <w:r w:rsidRPr="00D241CB">
              <w:rPr>
                <w:sz w:val="16"/>
                <w:szCs w:val="16"/>
              </w:rPr>
              <w:t xml:space="preserve"> with Accounting </w:t>
            </w:r>
            <w:proofErr w:type="spellStart"/>
            <w:r w:rsidRPr="00D241CB">
              <w:rPr>
                <w:sz w:val="16"/>
                <w:szCs w:val="16"/>
              </w:rPr>
              <w:t>Ethics</w:t>
            </w:r>
            <w:proofErr w:type="spellEnd"/>
            <w:r w:rsidRPr="00D241CB">
              <w:rPr>
                <w:sz w:val="16"/>
                <w:szCs w:val="16"/>
              </w:rPr>
              <w:t xml:space="preserve"> and as </w:t>
            </w:r>
            <w:proofErr w:type="spellStart"/>
            <w:r w:rsidRPr="00D241CB">
              <w:rPr>
                <w:sz w:val="16"/>
                <w:szCs w:val="16"/>
              </w:rPr>
              <w:t>prevention</w:t>
            </w:r>
            <w:proofErr w:type="spellEnd"/>
            <w:r w:rsidRPr="00D241CB">
              <w:rPr>
                <w:sz w:val="16"/>
                <w:szCs w:val="16"/>
              </w:rPr>
              <w:t xml:space="preserve"> and </w:t>
            </w:r>
            <w:proofErr w:type="spellStart"/>
            <w:r w:rsidRPr="00D241CB">
              <w:rPr>
                <w:sz w:val="16"/>
                <w:szCs w:val="16"/>
              </w:rPr>
              <w:t>detection</w:t>
            </w:r>
            <w:proofErr w:type="spellEnd"/>
            <w:r w:rsidRPr="00D241CB">
              <w:rPr>
                <w:sz w:val="16"/>
                <w:szCs w:val="16"/>
              </w:rPr>
              <w:t xml:space="preserve"> </w:t>
            </w:r>
            <w:proofErr w:type="spellStart"/>
            <w:r w:rsidRPr="00D241CB">
              <w:rPr>
                <w:sz w:val="16"/>
                <w:szCs w:val="16"/>
              </w:rPr>
              <w:t>construct</w:t>
            </w:r>
            <w:proofErr w:type="spellEnd"/>
            <w:r w:rsidRPr="00D241CB">
              <w:rPr>
                <w:sz w:val="16"/>
                <w:szCs w:val="16"/>
              </w:rPr>
              <w:t xml:space="preserve"> in the </w:t>
            </w:r>
            <w:proofErr w:type="spellStart"/>
            <w:r w:rsidRPr="00D241CB">
              <w:rPr>
                <w:sz w:val="16"/>
                <w:szCs w:val="16"/>
              </w:rPr>
              <w:t>context</w:t>
            </w:r>
            <w:proofErr w:type="spellEnd"/>
            <w:r w:rsidRPr="00D241CB">
              <w:rPr>
                <w:sz w:val="16"/>
                <w:szCs w:val="16"/>
              </w:rPr>
              <w:t xml:space="preserve"> of </w:t>
            </w:r>
            <w:proofErr w:type="spellStart"/>
            <w:r w:rsidRPr="00D241CB">
              <w:rPr>
                <w:sz w:val="16"/>
                <w:szCs w:val="16"/>
              </w:rPr>
              <w:t>analyzing</w:t>
            </w:r>
            <w:proofErr w:type="spellEnd"/>
            <w:r w:rsidRPr="00D241CB">
              <w:rPr>
                <w:sz w:val="16"/>
                <w:szCs w:val="16"/>
              </w:rPr>
              <w:t xml:space="preserve"> Accounting Fraud.</w:t>
            </w:r>
          </w:p>
        </w:tc>
      </w:tr>
      <w:tr w:rsidR="00325422" w:rsidRPr="004D621E" w14:paraId="6ABCC11F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course</w:t>
            </w:r>
            <w:proofErr w:type="spellEnd"/>
            <w:r w:rsidRPr="004D621E"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1F3" w14:textId="1EFF8B1D" w:rsidR="00325422" w:rsidRPr="00623A57" w:rsidRDefault="00325422" w:rsidP="004D621E">
            <w:pPr>
              <w:spacing w:after="0" w:line="276" w:lineRule="auto"/>
              <w:ind w:left="1" w:firstLine="0"/>
              <w:rPr>
                <w:rFonts w:ascii="Segoe UI" w:hAnsi="Segoe UI" w:cs="Segoe UI"/>
                <w:sz w:val="20"/>
                <w:szCs w:val="20"/>
              </w:rPr>
            </w:pPr>
            <w:r w:rsidRPr="00623A5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D241CB">
              <w:rPr>
                <w:rFonts w:ascii="Segoe UI" w:hAnsi="Segoe UI" w:cs="Segoe UI"/>
                <w:sz w:val="20"/>
                <w:szCs w:val="20"/>
              </w:rPr>
              <w:t>Lecture</w:t>
            </w:r>
            <w:proofErr w:type="spellEnd"/>
            <w:r w:rsidR="00D241CB">
              <w:rPr>
                <w:rFonts w:ascii="Segoe UI" w:hAnsi="Segoe UI" w:cs="Segoe UI"/>
                <w:sz w:val="20"/>
                <w:szCs w:val="20"/>
              </w:rPr>
              <w:t>/</w:t>
            </w:r>
            <w:proofErr w:type="spellStart"/>
            <w:r w:rsidR="00D241CB">
              <w:rPr>
                <w:rFonts w:ascii="Segoe UI" w:hAnsi="Segoe UI" w:cs="Segoe UI"/>
                <w:sz w:val="20"/>
                <w:szCs w:val="20"/>
              </w:rPr>
              <w:t>discussion</w:t>
            </w:r>
            <w:proofErr w:type="spellEnd"/>
          </w:p>
        </w:tc>
      </w:tr>
      <w:tr w:rsidR="00325422" w:rsidRPr="004D621E" w14:paraId="6F2D4A9A" w14:textId="77777777" w:rsidTr="00883FAD">
        <w:trPr>
          <w:trHeight w:val="218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Full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D41E" w14:textId="77777777" w:rsidR="00325422" w:rsidRPr="00623A57" w:rsidRDefault="00325422" w:rsidP="004D621E">
            <w:pPr>
              <w:spacing w:after="0" w:line="276" w:lineRule="auto"/>
              <w:ind w:left="1" w:firstLine="0"/>
              <w:rPr>
                <w:rFonts w:ascii="Segoe UI" w:hAnsi="Segoe UI" w:cs="Segoe UI"/>
                <w:sz w:val="20"/>
                <w:szCs w:val="20"/>
              </w:rPr>
            </w:pPr>
            <w:r w:rsidRPr="00623A5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325422" w:rsidRPr="004D621E" w14:paraId="0EC178B4" w14:textId="77777777" w:rsidTr="00883FAD">
        <w:trPr>
          <w:trHeight w:val="216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3CCDB5B7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Prerequisites</w:t>
            </w:r>
            <w:proofErr w:type="spellEnd"/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2D5D04D8" w:rsidR="00325422" w:rsidRPr="004D621E" w:rsidRDefault="00B06052" w:rsidP="004D621E">
            <w:pPr>
              <w:spacing w:after="0" w:line="276" w:lineRule="auto"/>
              <w:ind w:left="2" w:firstLine="0"/>
            </w:pPr>
            <w:proofErr w:type="spellStart"/>
            <w:r w:rsidRPr="004D621E">
              <w:t>Formal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239" w14:textId="3FFB8526" w:rsidR="00325422" w:rsidRPr="00D241CB" w:rsidRDefault="00325422" w:rsidP="00D241CB">
            <w:pPr>
              <w:spacing w:after="0" w:line="240" w:lineRule="auto"/>
              <w:ind w:left="1" w:firstLine="0"/>
              <w:rPr>
                <w:rFonts w:ascii="Segoe UI" w:hAnsi="Segoe UI" w:cs="Segoe UI"/>
                <w:sz w:val="16"/>
                <w:szCs w:val="16"/>
              </w:rPr>
            </w:pPr>
            <w:r w:rsidRPr="00623A5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241CB" w:rsidRPr="00D241CB">
              <w:rPr>
                <w:rFonts w:ascii="Segoe UI" w:hAnsi="Segoe UI" w:cs="Segoe UI"/>
                <w:sz w:val="16"/>
                <w:szCs w:val="16"/>
              </w:rPr>
              <w:t xml:space="preserve">2 </w:t>
            </w:r>
            <w:proofErr w:type="spellStart"/>
            <w:r w:rsidR="00D241CB" w:rsidRPr="00D241CB">
              <w:rPr>
                <w:rFonts w:ascii="Segoe UI" w:hAnsi="Segoe UI" w:cs="Segoe UI"/>
                <w:sz w:val="16"/>
                <w:szCs w:val="16"/>
              </w:rPr>
              <w:t>semesters</w:t>
            </w:r>
            <w:proofErr w:type="spellEnd"/>
            <w:r w:rsidR="00D241CB" w:rsidRPr="00D241CB">
              <w:rPr>
                <w:rFonts w:ascii="Segoe UI" w:hAnsi="Segoe UI" w:cs="Segoe UI"/>
                <w:sz w:val="16"/>
                <w:szCs w:val="16"/>
              </w:rPr>
              <w:t xml:space="preserve"> of </w:t>
            </w:r>
            <w:proofErr w:type="spellStart"/>
            <w:r w:rsidR="00D241CB">
              <w:rPr>
                <w:rFonts w:ascii="Segoe UI" w:hAnsi="Segoe UI" w:cs="Segoe UI"/>
                <w:sz w:val="16"/>
                <w:szCs w:val="16"/>
              </w:rPr>
              <w:t>Introductory</w:t>
            </w:r>
            <w:proofErr w:type="spellEnd"/>
            <w:r w:rsidR="00D241C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D241CB" w:rsidRPr="00D241CB">
              <w:rPr>
                <w:rFonts w:ascii="Segoe UI" w:hAnsi="Segoe UI" w:cs="Segoe UI"/>
                <w:sz w:val="16"/>
                <w:szCs w:val="16"/>
              </w:rPr>
              <w:t>Accounting</w:t>
            </w:r>
          </w:p>
        </w:tc>
      </w:tr>
      <w:tr w:rsidR="00325422" w:rsidRPr="004D621E" w14:paraId="38B55437" w14:textId="77777777" w:rsidTr="00883FAD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325422" w:rsidRPr="004D621E" w:rsidRDefault="00325422" w:rsidP="004D621E">
            <w:pPr>
              <w:spacing w:after="160" w:line="276" w:lineRule="auto"/>
              <w:ind w:left="0" w:firstLine="0"/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5E44FFE0" w:rsidR="00325422" w:rsidRPr="004D621E" w:rsidRDefault="00B06052" w:rsidP="004D621E">
            <w:pPr>
              <w:spacing w:after="0" w:line="276" w:lineRule="auto"/>
              <w:ind w:left="2" w:firstLine="0"/>
            </w:pPr>
            <w:proofErr w:type="spellStart"/>
            <w:r w:rsidRPr="004D621E">
              <w:t>Initial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485" w14:textId="77777777" w:rsidR="00325422" w:rsidRPr="00623A57" w:rsidRDefault="00325422" w:rsidP="004D621E">
            <w:pPr>
              <w:spacing w:after="0" w:line="276" w:lineRule="auto"/>
              <w:ind w:left="1" w:firstLine="0"/>
              <w:rPr>
                <w:rFonts w:ascii="Segoe UI" w:hAnsi="Segoe UI" w:cs="Segoe UI"/>
                <w:sz w:val="20"/>
                <w:szCs w:val="20"/>
              </w:rPr>
            </w:pPr>
            <w:r w:rsidRPr="00623A5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325422" w:rsidRPr="004D621E" w14:paraId="191612E4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Learning </w:t>
            </w:r>
            <w:proofErr w:type="spellStart"/>
            <w:r w:rsidRPr="004D621E">
              <w:t>outcomes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59F4" w14:textId="77777777" w:rsidR="00D241CB" w:rsidRPr="00F13E3E" w:rsidRDefault="00325422" w:rsidP="00D241C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62"/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</w:pPr>
            <w:r w:rsidRPr="00D241C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="00D241CB"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Analyze</w:t>
            </w:r>
            <w:proofErr w:type="spellEnd"/>
            <w:r w:rsidR="00D241CB"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 xml:space="preserve"> </w:t>
            </w:r>
            <w:proofErr w:type="spellStart"/>
            <w:r w:rsidR="00D241CB"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internal</w:t>
            </w:r>
            <w:proofErr w:type="spellEnd"/>
            <w:r w:rsidR="00D241CB"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 xml:space="preserve"> controls </w:t>
            </w:r>
            <w:r w:rsidR="00D241CB" w:rsidRPr="00D241CB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 xml:space="preserve">and </w:t>
            </w:r>
            <w:proofErr w:type="spellStart"/>
            <w:r w:rsidR="00D241CB" w:rsidRPr="00D241CB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why</w:t>
            </w:r>
            <w:proofErr w:type="spellEnd"/>
            <w:r w:rsidR="00D241CB" w:rsidRPr="00D241CB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 xml:space="preserve"> </w:t>
            </w:r>
            <w:proofErr w:type="spellStart"/>
            <w:r w:rsidR="00D241CB" w:rsidRPr="00D241CB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they</w:t>
            </w:r>
            <w:proofErr w:type="spellEnd"/>
            <w:r w:rsidR="00D241CB" w:rsidRPr="00D241CB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 xml:space="preserve"> </w:t>
            </w:r>
            <w:proofErr w:type="spellStart"/>
            <w:r w:rsidR="00D241CB" w:rsidRPr="00D241CB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are</w:t>
            </w:r>
            <w:proofErr w:type="spellEnd"/>
            <w:r w:rsidR="00D241CB" w:rsidRPr="00D241CB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 xml:space="preserve"> </w:t>
            </w:r>
            <w:proofErr w:type="spellStart"/>
            <w:r w:rsidR="00D241CB" w:rsidRPr="00D241CB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important</w:t>
            </w:r>
            <w:proofErr w:type="spellEnd"/>
            <w:r w:rsidR="00D241CB" w:rsidRPr="00D241CB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 xml:space="preserve"> for the </w:t>
            </w:r>
            <w:proofErr w:type="spellStart"/>
            <w:r w:rsidR="00D241CB" w:rsidRPr="00D241CB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foundation</w:t>
            </w:r>
            <w:proofErr w:type="spellEnd"/>
            <w:r w:rsidR="00D241CB" w:rsidRPr="00D241CB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 xml:space="preserve"> of </w:t>
            </w:r>
            <w:proofErr w:type="spellStart"/>
            <w:r w:rsidR="00D241CB" w:rsidRPr="00D241CB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successful</w:t>
            </w:r>
            <w:proofErr w:type="spellEnd"/>
            <w:r w:rsidR="00D241CB" w:rsidRPr="00D241CB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 xml:space="preserve"> business </w:t>
            </w:r>
            <w:proofErr w:type="spellStart"/>
            <w:r w:rsidR="00D241CB" w:rsidRPr="00D241CB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activity</w:t>
            </w:r>
            <w:proofErr w:type="spellEnd"/>
            <w:r w:rsidR="00D241CB"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.</w:t>
            </w:r>
          </w:p>
          <w:p w14:paraId="654998D1" w14:textId="77777777" w:rsidR="00D241CB" w:rsidRPr="00D241CB" w:rsidRDefault="00D241CB" w:rsidP="00D241C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62"/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</w:pP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Understand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analyze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the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theoretical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philosophical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foundations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ethical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decision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making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in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accounting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.</w:t>
            </w:r>
            <w:r w:rsidRPr="00D241CB">
              <w:rPr>
                <w:rFonts w:ascii="Lato" w:hAnsi="Lato"/>
                <w:color w:val="2D3B45"/>
                <w:sz w:val="16"/>
                <w:szCs w:val="16"/>
              </w:rPr>
              <w:t>.</w:t>
            </w:r>
          </w:p>
          <w:p w14:paraId="53786616" w14:textId="77777777" w:rsidR="00D241CB" w:rsidRPr="00D241CB" w:rsidRDefault="00D241CB" w:rsidP="00D241C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62"/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</w:pP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</w:rPr>
              <w:t>A</w:t>
            </w:r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nalyze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significant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ethical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issues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facing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business and the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accounting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profession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.</w:t>
            </w:r>
          </w:p>
          <w:p w14:paraId="4CF143DE" w14:textId="77777777" w:rsidR="00D241CB" w:rsidRPr="00D241CB" w:rsidRDefault="00D241CB" w:rsidP="00D241C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62"/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</w:pP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</w:rPr>
              <w:t>C</w:t>
            </w:r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ritique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how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organizations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develop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ethical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codes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frameworks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.</w:t>
            </w:r>
          </w:p>
          <w:p w14:paraId="5EC56860" w14:textId="77777777" w:rsidR="00D241CB" w:rsidRPr="00D241CB" w:rsidRDefault="00D241CB" w:rsidP="00D241C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62"/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</w:pP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Anaylze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ethics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accounting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and the Public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Interest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.</w:t>
            </w:r>
          </w:p>
          <w:p w14:paraId="564204B7" w14:textId="77777777" w:rsidR="00D241CB" w:rsidRPr="00F13E3E" w:rsidRDefault="00D241CB" w:rsidP="00D241C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62"/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</w:pP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</w:rPr>
              <w:t>C</w:t>
            </w:r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ritique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the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risk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unethical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decisions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on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accountants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and the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organizations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that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they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>operate</w:t>
            </w:r>
            <w:proofErr w:type="spellEnd"/>
            <w:r w:rsidRPr="00D241CB">
              <w:rPr>
                <w:rFonts w:ascii="Lato" w:hAnsi="Lato"/>
                <w:color w:val="2D3B45"/>
                <w:sz w:val="16"/>
                <w:szCs w:val="16"/>
                <w:shd w:val="clear" w:color="auto" w:fill="FFFFFF"/>
              </w:rPr>
              <w:t xml:space="preserve"> in.</w:t>
            </w:r>
          </w:p>
          <w:p w14:paraId="3DBBB227" w14:textId="77777777" w:rsidR="00D241CB" w:rsidRPr="00F13E3E" w:rsidRDefault="00D241CB" w:rsidP="00D241C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62"/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</w:pPr>
            <w:proofErr w:type="spellStart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Discuss</w:t>
            </w:r>
            <w:proofErr w:type="spellEnd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 xml:space="preserve"> </w:t>
            </w:r>
            <w:proofErr w:type="spellStart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specific</w:t>
            </w:r>
            <w:proofErr w:type="spellEnd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 xml:space="preserve"> </w:t>
            </w:r>
            <w:proofErr w:type="spellStart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examples</w:t>
            </w:r>
            <w:proofErr w:type="spellEnd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 xml:space="preserve"> of </w:t>
            </w:r>
            <w:proofErr w:type="spellStart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asset</w:t>
            </w:r>
            <w:proofErr w:type="spellEnd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 xml:space="preserve"> </w:t>
            </w:r>
            <w:proofErr w:type="spellStart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misappropriation</w:t>
            </w:r>
            <w:proofErr w:type="spellEnd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.</w:t>
            </w:r>
          </w:p>
          <w:p w14:paraId="64AE5B8E" w14:textId="77777777" w:rsidR="00D241CB" w:rsidRPr="00F13E3E" w:rsidRDefault="00D241CB" w:rsidP="00D241C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62"/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</w:pPr>
            <w:proofErr w:type="spellStart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Critique</w:t>
            </w:r>
            <w:proofErr w:type="spellEnd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 xml:space="preserve"> </w:t>
            </w:r>
            <w:proofErr w:type="spellStart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specific</w:t>
            </w:r>
            <w:proofErr w:type="spellEnd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 xml:space="preserve"> </w:t>
            </w:r>
            <w:proofErr w:type="spellStart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cases</w:t>
            </w:r>
            <w:proofErr w:type="spellEnd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 xml:space="preserve"> of </w:t>
            </w:r>
            <w:proofErr w:type="spellStart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corruption</w:t>
            </w:r>
            <w:proofErr w:type="spellEnd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 xml:space="preserve"> and fraud </w:t>
            </w:r>
            <w:proofErr w:type="spellStart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lastRenderedPageBreak/>
              <w:t>threats</w:t>
            </w:r>
            <w:proofErr w:type="spellEnd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 xml:space="preserve"> in a </w:t>
            </w:r>
            <w:proofErr w:type="spellStart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global</w:t>
            </w:r>
            <w:proofErr w:type="spellEnd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 xml:space="preserve"> </w:t>
            </w:r>
            <w:proofErr w:type="spellStart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economy</w:t>
            </w:r>
            <w:proofErr w:type="spellEnd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.</w:t>
            </w:r>
          </w:p>
          <w:p w14:paraId="0FFB4B2D" w14:textId="77777777" w:rsidR="00D241CB" w:rsidRPr="00F13E3E" w:rsidRDefault="00D241CB" w:rsidP="00D241C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62"/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</w:pPr>
            <w:proofErr w:type="spellStart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Recognize</w:t>
            </w:r>
            <w:proofErr w:type="spellEnd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 xml:space="preserve"> </w:t>
            </w:r>
            <w:proofErr w:type="spellStart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fraudulent</w:t>
            </w:r>
            <w:proofErr w:type="spellEnd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 xml:space="preserve"> </w:t>
            </w:r>
            <w:proofErr w:type="spellStart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financial</w:t>
            </w:r>
            <w:proofErr w:type="spellEnd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 xml:space="preserve"> </w:t>
            </w:r>
            <w:proofErr w:type="spellStart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statements</w:t>
            </w:r>
            <w:proofErr w:type="spellEnd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.</w:t>
            </w:r>
          </w:p>
          <w:p w14:paraId="21F397DF" w14:textId="31B708BC" w:rsidR="00325422" w:rsidRPr="00D241CB" w:rsidRDefault="00D241CB" w:rsidP="00D241C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62"/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</w:pPr>
            <w:proofErr w:type="spellStart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Discuss</w:t>
            </w:r>
            <w:proofErr w:type="spellEnd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 xml:space="preserve"> the </w:t>
            </w:r>
            <w:proofErr w:type="spellStart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relationship</w:t>
            </w:r>
            <w:proofErr w:type="spellEnd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 xml:space="preserve"> </w:t>
            </w:r>
            <w:proofErr w:type="spellStart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between</w:t>
            </w:r>
            <w:proofErr w:type="spellEnd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 xml:space="preserve"> </w:t>
            </w:r>
            <w:proofErr w:type="spellStart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technology</w:t>
            </w:r>
            <w:proofErr w:type="spellEnd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 xml:space="preserve"> and </w:t>
            </w:r>
            <w:proofErr w:type="spellStart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>accounting</w:t>
            </w:r>
            <w:proofErr w:type="spellEnd"/>
            <w:r w:rsidRPr="00F13E3E">
              <w:rPr>
                <w:rFonts w:ascii="Lato" w:eastAsia="Times New Roman" w:hAnsi="Lato" w:cs="Times New Roman"/>
                <w:color w:val="2D3B45"/>
                <w:sz w:val="16"/>
                <w:szCs w:val="16"/>
              </w:rPr>
              <w:t xml:space="preserve"> fraud.</w:t>
            </w:r>
          </w:p>
        </w:tc>
      </w:tr>
      <w:tr w:rsidR="00325422" w:rsidRPr="00623A57" w14:paraId="5A99F7C7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5652EE41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>ECTS credit allocation (and other scores)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F4" w14:textId="21612DD1" w:rsidR="00325422" w:rsidRPr="00623A57" w:rsidRDefault="00325422" w:rsidP="004D621E">
            <w:pPr>
              <w:spacing w:after="0" w:line="276" w:lineRule="auto"/>
              <w:ind w:left="1" w:firstLine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23A57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623A57">
              <w:rPr>
                <w:rFonts w:ascii="Segoe UI" w:hAnsi="Segoe UI" w:cs="Segoe UI"/>
                <w:sz w:val="20"/>
                <w:szCs w:val="20"/>
                <w:lang w:val="en-GB"/>
              </w:rPr>
              <w:t>1</w:t>
            </w:r>
          </w:p>
        </w:tc>
      </w:tr>
      <w:tr w:rsidR="00325422" w:rsidRPr="00623A57" w14:paraId="301969D1" w14:textId="77777777" w:rsidTr="00883FAD">
        <w:trPr>
          <w:trHeight w:val="218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5302" w14:textId="5D70D8D6" w:rsidR="00325422" w:rsidRPr="00D241CB" w:rsidRDefault="00D241CB" w:rsidP="004D621E">
            <w:pPr>
              <w:spacing w:after="0" w:line="276" w:lineRule="auto"/>
              <w:ind w:left="1" w:firstLine="0"/>
              <w:rPr>
                <w:rFonts w:ascii="Segoe UI" w:hAnsi="Segoe UI" w:cs="Segoe UI"/>
                <w:color w:val="000000" w:themeColor="text1"/>
                <w:sz w:val="16"/>
                <w:szCs w:val="16"/>
                <w:lang w:val="en-GB"/>
              </w:rPr>
            </w:pPr>
            <w:r w:rsidRPr="00D241CB">
              <w:rPr>
                <w:rFonts w:ascii="Segoe UI" w:hAnsi="Segoe UI" w:cs="Segoe UI"/>
                <w:color w:val="000000" w:themeColor="text1"/>
                <w:sz w:val="16"/>
                <w:szCs w:val="16"/>
                <w:lang w:val="en-GB"/>
              </w:rPr>
              <w:t xml:space="preserve">Class discussion and </w:t>
            </w:r>
            <w:r w:rsidRPr="00D241C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Take-Home Case Analysis</w:t>
            </w:r>
          </w:p>
        </w:tc>
      </w:tr>
      <w:tr w:rsidR="00325422" w:rsidRPr="004D621E" w14:paraId="212A23E1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Examination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180" w14:textId="134BBDB8" w:rsidR="00325422" w:rsidRPr="00D241CB" w:rsidRDefault="00D241CB" w:rsidP="00D241CB">
            <w:pPr>
              <w:spacing w:after="0" w:line="240" w:lineRule="auto"/>
              <w:ind w:left="0" w:firstLine="0"/>
              <w:rPr>
                <w:rFonts w:ascii="Segoe UI" w:hAnsi="Segoe UI" w:cs="Segoe UI"/>
                <w:sz w:val="16"/>
                <w:szCs w:val="16"/>
              </w:rPr>
            </w:pPr>
            <w:r w:rsidRPr="00D241CB">
              <w:rPr>
                <w:rFonts w:ascii="Segoe UI" w:hAnsi="Segoe UI" w:cs="Segoe UI"/>
                <w:sz w:val="16"/>
                <w:szCs w:val="16"/>
              </w:rPr>
              <w:t>Take-Home Case Analysis</w:t>
            </w:r>
            <w:r w:rsidR="00325422" w:rsidRPr="00D241C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325422" w:rsidRPr="004D621E" w14:paraId="073565A4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7F9" w14:textId="77777777" w:rsidR="00325422" w:rsidRPr="00623A57" w:rsidRDefault="00325422" w:rsidP="004D621E">
            <w:pPr>
              <w:spacing w:after="0" w:line="276" w:lineRule="auto"/>
              <w:ind w:left="361" w:firstLine="0"/>
              <w:rPr>
                <w:rFonts w:ascii="Segoe UI" w:hAnsi="Segoe UI" w:cs="Segoe UI"/>
                <w:sz w:val="20"/>
                <w:szCs w:val="20"/>
              </w:rPr>
            </w:pPr>
            <w:r w:rsidRPr="00623A5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325422" w:rsidRPr="004D621E" w14:paraId="4A326BB5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77777777" w:rsidR="00325422" w:rsidRPr="004D621E" w:rsidRDefault="00325422" w:rsidP="004D621E">
            <w:pPr>
              <w:spacing w:after="0" w:line="276" w:lineRule="auto"/>
              <w:ind w:left="0" w:firstLine="0"/>
            </w:pPr>
            <w:r w:rsidRPr="004D621E">
              <w:t xml:space="preserve">Sposób realizacji przedmiotu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E65" w14:textId="77777777" w:rsidR="00325422" w:rsidRPr="00623A57" w:rsidRDefault="00325422" w:rsidP="004D621E">
            <w:pPr>
              <w:spacing w:after="0" w:line="276" w:lineRule="auto"/>
              <w:ind w:left="1" w:firstLine="0"/>
              <w:rPr>
                <w:rFonts w:ascii="Segoe UI" w:hAnsi="Segoe UI" w:cs="Segoe UI"/>
                <w:sz w:val="20"/>
                <w:szCs w:val="20"/>
              </w:rPr>
            </w:pPr>
            <w:r w:rsidRPr="00623A5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325422" w:rsidRPr="004D621E" w14:paraId="422AC647" w14:textId="77777777" w:rsidTr="00883FAD">
        <w:trPr>
          <w:trHeight w:val="218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Language</w:t>
            </w:r>
            <w:r w:rsidR="00325422" w:rsidRPr="004D621E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CCA" w14:textId="086AF3C0" w:rsidR="00325422" w:rsidRPr="00623A57" w:rsidRDefault="00325422" w:rsidP="004D621E">
            <w:pPr>
              <w:spacing w:after="0" w:line="276" w:lineRule="auto"/>
              <w:ind w:left="1" w:firstLine="0"/>
              <w:rPr>
                <w:rFonts w:ascii="Segoe UI" w:hAnsi="Segoe UI" w:cs="Segoe UI"/>
                <w:sz w:val="20"/>
                <w:szCs w:val="20"/>
              </w:rPr>
            </w:pPr>
            <w:r w:rsidRPr="00623A5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23A57">
              <w:rPr>
                <w:rFonts w:ascii="Segoe UI" w:hAnsi="Segoe UI" w:cs="Segoe UI"/>
                <w:sz w:val="20"/>
                <w:szCs w:val="20"/>
              </w:rPr>
              <w:t>English</w:t>
            </w:r>
          </w:p>
        </w:tc>
      </w:tr>
      <w:tr w:rsidR="00325422" w:rsidRPr="004D621E" w14:paraId="62160E67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E4D8" w14:textId="77777777" w:rsidR="00325422" w:rsidRPr="00623A57" w:rsidRDefault="00325422" w:rsidP="004D621E">
            <w:pPr>
              <w:spacing w:after="0" w:line="276" w:lineRule="auto"/>
              <w:ind w:left="361" w:firstLine="0"/>
              <w:rPr>
                <w:rFonts w:ascii="Segoe UI" w:hAnsi="Segoe UI" w:cs="Segoe UI"/>
                <w:sz w:val="20"/>
                <w:szCs w:val="20"/>
              </w:rPr>
            </w:pPr>
            <w:r w:rsidRPr="00623A57">
              <w:rPr>
                <w:rFonts w:ascii="Segoe UI" w:hAnsi="Segoe UI" w:cs="Segoe UI"/>
                <w:i/>
                <w:color w:val="007F00"/>
                <w:sz w:val="20"/>
                <w:szCs w:val="20"/>
              </w:rPr>
              <w:t xml:space="preserve"> </w:t>
            </w:r>
          </w:p>
        </w:tc>
      </w:tr>
      <w:tr w:rsidR="00325422" w:rsidRPr="00623A57" w14:paraId="2FAEF6D3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2A644172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Internship as part of the course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ED6" w14:textId="16119BC4" w:rsidR="00325422" w:rsidRPr="00623A57" w:rsidRDefault="00D241CB" w:rsidP="004D621E">
            <w:pPr>
              <w:spacing w:after="0" w:line="276" w:lineRule="auto"/>
              <w:ind w:left="1" w:firstLine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No</w:t>
            </w:r>
            <w:r w:rsidR="00325422" w:rsidRPr="00623A57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</w:tc>
      </w:tr>
      <w:tr w:rsidR="00325422" w:rsidRPr="004D621E" w14:paraId="37BB6CB8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Coordinators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7D2" w14:textId="77777777" w:rsidR="00325422" w:rsidRPr="00623A57" w:rsidRDefault="00325422" w:rsidP="004D621E">
            <w:pPr>
              <w:spacing w:after="0" w:line="276" w:lineRule="auto"/>
              <w:ind w:left="361" w:firstLine="0"/>
              <w:rPr>
                <w:rFonts w:ascii="Segoe UI" w:hAnsi="Segoe UI" w:cs="Segoe UI"/>
                <w:sz w:val="20"/>
                <w:szCs w:val="20"/>
              </w:rPr>
            </w:pPr>
            <w:r w:rsidRPr="00623A5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</w:tr>
      <w:tr w:rsidR="00325422" w:rsidRPr="004D621E" w14:paraId="4282D8D7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2BB" w14:textId="77777777" w:rsidR="00325422" w:rsidRPr="00623A57" w:rsidRDefault="00325422" w:rsidP="004D621E">
            <w:pPr>
              <w:spacing w:after="0" w:line="276" w:lineRule="auto"/>
              <w:ind w:left="361" w:firstLine="0"/>
              <w:rPr>
                <w:rFonts w:ascii="Segoe UI" w:hAnsi="Segoe UI" w:cs="Segoe UI"/>
                <w:sz w:val="20"/>
                <w:szCs w:val="20"/>
              </w:rPr>
            </w:pPr>
            <w:r w:rsidRPr="00623A5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</w:tr>
      <w:tr w:rsidR="00325422" w:rsidRPr="004D621E" w14:paraId="7631AEA4" w14:textId="77777777" w:rsidTr="00883FAD">
        <w:trPr>
          <w:trHeight w:val="218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Notes</w:t>
            </w:r>
            <w:r w:rsidR="00325422" w:rsidRPr="004D621E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C0C" w14:textId="77777777" w:rsidR="00325422" w:rsidRPr="00623A57" w:rsidRDefault="00325422" w:rsidP="004D621E">
            <w:pPr>
              <w:spacing w:after="0" w:line="276" w:lineRule="auto"/>
              <w:ind w:left="361" w:firstLine="0"/>
              <w:rPr>
                <w:rFonts w:ascii="Segoe UI" w:hAnsi="Segoe UI" w:cs="Segoe UI"/>
                <w:sz w:val="20"/>
                <w:szCs w:val="20"/>
              </w:rPr>
            </w:pPr>
            <w:r w:rsidRPr="00623A5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</w:tbl>
    <w:p w14:paraId="6B05B1F3" w14:textId="77777777" w:rsidR="00325422" w:rsidRPr="004D621E" w:rsidRDefault="00325422" w:rsidP="00325422">
      <w:pPr>
        <w:spacing w:after="0" w:line="276" w:lineRule="auto"/>
        <w:ind w:left="0" w:firstLine="0"/>
      </w:pPr>
      <w:r w:rsidRPr="004D621E">
        <w:t xml:space="preserve"> </w:t>
      </w:r>
    </w:p>
    <w:p w14:paraId="5488B887" w14:textId="07DEC347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B. </w:t>
      </w:r>
      <w:proofErr w:type="spellStart"/>
      <w:r w:rsidR="00B06052" w:rsidRPr="004D621E">
        <w:rPr>
          <w:b/>
        </w:rPr>
        <w:t>Detailed</w:t>
      </w:r>
      <w:proofErr w:type="spellEnd"/>
      <w:r w:rsidR="00B06052" w:rsidRPr="004D621E">
        <w:rPr>
          <w:b/>
        </w:rPr>
        <w:t xml:space="preserve">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486"/>
        <w:gridCol w:w="1978"/>
      </w:tblGrid>
      <w:tr w:rsidR="00B06052" w:rsidRPr="004D621E" w14:paraId="6704B5BB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4D621E" w:rsidRDefault="00B06052" w:rsidP="00B06052">
            <w:pPr>
              <w:spacing w:after="0" w:line="276" w:lineRule="auto"/>
              <w:ind w:left="4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4D621E" w:rsidRDefault="00B06052" w:rsidP="00B06052">
            <w:pPr>
              <w:spacing w:after="0" w:line="276" w:lineRule="auto"/>
              <w:ind w:left="8" w:firstLine="0"/>
              <w:jc w:val="center"/>
            </w:pPr>
            <w:r w:rsidRPr="004D621E">
              <w:rPr>
                <w:b/>
              </w:rPr>
              <w:t xml:space="preserve">Content </w:t>
            </w:r>
          </w:p>
        </w:tc>
      </w:tr>
      <w:tr w:rsidR="00325422" w:rsidRPr="004D621E" w14:paraId="4AF71237" w14:textId="77777777" w:rsidTr="00B06052">
        <w:trPr>
          <w:trHeight w:val="218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  <w:r w:rsidRPr="004D621E">
              <w:t>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rPr>
                <w:b/>
              </w:rPr>
              <w:t xml:space="preserve"> </w:t>
            </w:r>
          </w:p>
        </w:tc>
      </w:tr>
      <w:tr w:rsidR="00325422" w:rsidRPr="00623A57" w14:paraId="4868B4FC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Title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2971C889" w:rsidR="00325422" w:rsidRPr="00623A57" w:rsidRDefault="00325422" w:rsidP="00883FAD">
            <w:pPr>
              <w:spacing w:after="0" w:line="276" w:lineRule="auto"/>
              <w:ind w:left="1" w:firstLine="0"/>
              <w:rPr>
                <w:lang w:val="en-US"/>
              </w:rPr>
            </w:pPr>
            <w:r w:rsidRPr="00623A57">
              <w:rPr>
                <w:b/>
                <w:lang w:val="en-US"/>
              </w:rPr>
              <w:t xml:space="preserve"> </w:t>
            </w:r>
            <w:r w:rsidR="00623A57" w:rsidRPr="00623A57">
              <w:rPr>
                <w:rFonts w:ascii="Segoe UI" w:hAnsi="Segoe UI" w:cs="Segoe UI"/>
                <w:color w:val="353838"/>
                <w:sz w:val="20"/>
                <w:szCs w:val="20"/>
                <w:lang w:val="en-US"/>
              </w:rPr>
              <w:t>Cases in Internal Control, Ethics and Accounting Fraud</w:t>
            </w:r>
          </w:p>
        </w:tc>
      </w:tr>
      <w:tr w:rsidR="00325422" w:rsidRPr="004D621E" w14:paraId="30545EBB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  <w:r w:rsidRPr="004D621E">
              <w:t>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623A57" w14:paraId="297C743D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325422" w:rsidRPr="00623A57" w:rsidRDefault="00B06052" w:rsidP="00883FAD">
            <w:pPr>
              <w:spacing w:after="0" w:line="276" w:lineRule="auto"/>
              <w:ind w:left="0" w:firstLine="0"/>
              <w:rPr>
                <w:lang w:val="en-US"/>
              </w:rPr>
            </w:pPr>
            <w:r w:rsidRPr="00623A57">
              <w:rPr>
                <w:lang w:val="en-US"/>
              </w:rPr>
              <w:t>Learning outcomes defined for didactic method used during the course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1DDC" w14:textId="77777777" w:rsidR="00325422" w:rsidRPr="00623A57" w:rsidRDefault="00325422" w:rsidP="00883FAD">
            <w:pPr>
              <w:spacing w:after="0" w:line="276" w:lineRule="auto"/>
              <w:ind w:left="1" w:firstLine="0"/>
              <w:rPr>
                <w:lang w:val="en-US"/>
              </w:rPr>
            </w:pPr>
            <w:r w:rsidRPr="00623A57">
              <w:rPr>
                <w:lang w:val="en-US"/>
              </w:rPr>
              <w:t xml:space="preserve"> </w:t>
            </w:r>
          </w:p>
        </w:tc>
      </w:tr>
      <w:tr w:rsidR="00325422" w:rsidRPr="00623A57" w14:paraId="2096DE5A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325422" w:rsidRPr="004D621E" w:rsidRDefault="00B06052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 for didactic method used during the course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69CE" w14:textId="77777777" w:rsidR="00325422" w:rsidRPr="004D621E" w:rsidRDefault="00325422" w:rsidP="00883FA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</w:p>
        </w:tc>
      </w:tr>
      <w:tr w:rsidR="00325422" w:rsidRPr="00623A57" w14:paraId="459489CE" w14:textId="77777777" w:rsidTr="00B06052">
        <w:trPr>
          <w:trHeight w:val="218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325422" w:rsidRPr="004D621E" w:rsidRDefault="004D621E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Examination for didactic method used during the course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BB8" w14:textId="77777777" w:rsidR="00325422" w:rsidRPr="004D621E" w:rsidRDefault="00325422" w:rsidP="00883FA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</w:p>
        </w:tc>
      </w:tr>
      <w:tr w:rsidR="00325422" w:rsidRPr="004D621E" w14:paraId="378D696C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Range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content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7431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71FD2739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6C98B637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methods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F1A6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523610F2" w14:textId="77777777" w:rsidTr="00B06052">
        <w:trPr>
          <w:trHeight w:val="218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8481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390E4910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limit</w:t>
            </w:r>
            <w:r w:rsidR="00325422" w:rsidRPr="004D621E"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349CC74B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325422" w:rsidRPr="004D621E" w:rsidRDefault="004D621E" w:rsidP="00883FAD">
            <w:pPr>
              <w:spacing w:after="0" w:line="276" w:lineRule="auto"/>
              <w:ind w:left="0" w:firstLine="0"/>
            </w:pPr>
            <w:r w:rsidRPr="004D621E">
              <w:t xml:space="preserve">Time </w:t>
            </w:r>
            <w:proofErr w:type="spellStart"/>
            <w:r w:rsidRPr="004D621E">
              <w:t>span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4EFA93FD" w14:textId="77777777" w:rsidTr="00B06052">
        <w:trPr>
          <w:trHeight w:val="215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Location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</w:tbl>
    <w:p w14:paraId="7E0C23C7" w14:textId="77777777" w:rsidR="00325422" w:rsidRPr="004D621E" w:rsidRDefault="00325422"/>
    <w:sectPr w:rsidR="00325422" w:rsidRPr="004D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A9EF" w14:textId="77777777" w:rsidR="00940DA9" w:rsidRDefault="00940DA9" w:rsidP="006F4F7C">
      <w:pPr>
        <w:spacing w:after="0" w:line="240" w:lineRule="auto"/>
      </w:pPr>
      <w:r>
        <w:separator/>
      </w:r>
    </w:p>
  </w:endnote>
  <w:endnote w:type="continuationSeparator" w:id="0">
    <w:p w14:paraId="62481391" w14:textId="77777777" w:rsidR="00940DA9" w:rsidRDefault="00940DA9" w:rsidP="006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CA50" w14:textId="77777777" w:rsidR="00940DA9" w:rsidRDefault="00940DA9" w:rsidP="006F4F7C">
      <w:pPr>
        <w:spacing w:after="0" w:line="240" w:lineRule="auto"/>
      </w:pPr>
      <w:r>
        <w:separator/>
      </w:r>
    </w:p>
  </w:footnote>
  <w:footnote w:type="continuationSeparator" w:id="0">
    <w:p w14:paraId="061C1E8F" w14:textId="77777777" w:rsidR="00940DA9" w:rsidRDefault="00940DA9" w:rsidP="006F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AD2"/>
    <w:multiLevelType w:val="multilevel"/>
    <w:tmpl w:val="B38C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22"/>
    <w:rsid w:val="00325422"/>
    <w:rsid w:val="0041308D"/>
    <w:rsid w:val="004D621E"/>
    <w:rsid w:val="00623A57"/>
    <w:rsid w:val="00652E26"/>
    <w:rsid w:val="006F4F7C"/>
    <w:rsid w:val="008B02E1"/>
    <w:rsid w:val="00940DA9"/>
    <w:rsid w:val="00B02F5E"/>
    <w:rsid w:val="00B06052"/>
    <w:rsid w:val="00D241CB"/>
    <w:rsid w:val="00E0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9D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22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2024-02-23T08:21:00Z</dcterms:created>
  <dcterms:modified xsi:type="dcterms:W3CDTF">2024-02-23T08:21:00Z</dcterms:modified>
</cp:coreProperties>
</file>