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41BA" w14:textId="77777777" w:rsidR="0066049C" w:rsidRDefault="0066049C">
      <w:pPr>
        <w:jc w:val="center"/>
        <w:rPr>
          <w:rFonts w:ascii="Arial" w:eastAsia="Arial" w:hAnsi="Arial" w:cs="Arial"/>
        </w:rPr>
      </w:pPr>
    </w:p>
    <w:p w14:paraId="6C204C37" w14:textId="77777777" w:rsidR="0066049C" w:rsidRDefault="0066049C">
      <w:pPr>
        <w:jc w:val="right"/>
        <w:rPr>
          <w:rFonts w:ascii="Arial" w:eastAsia="Arial" w:hAnsi="Arial" w:cs="Arial"/>
          <w:sz w:val="20"/>
          <w:szCs w:val="20"/>
        </w:rPr>
      </w:pPr>
    </w:p>
    <w:p w14:paraId="2E18DD68" w14:textId="77777777" w:rsidR="0066049C" w:rsidRDefault="0066049C">
      <w:pPr>
        <w:rPr>
          <w:rFonts w:ascii="Arial" w:eastAsia="Arial" w:hAnsi="Arial" w:cs="Arial"/>
          <w:sz w:val="20"/>
          <w:szCs w:val="20"/>
        </w:rPr>
      </w:pPr>
    </w:p>
    <w:p w14:paraId="0AF2A957" w14:textId="77777777" w:rsidR="0066049C" w:rsidRDefault="006F20C0">
      <w:pPr>
        <w:spacing w:after="120"/>
        <w:ind w:left="360" w:hanging="36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A. General information</w:t>
      </w: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94"/>
        <w:gridCol w:w="6224"/>
      </w:tblGrid>
      <w:tr w:rsidR="0066049C" w14:paraId="2B642558" w14:textId="77777777">
        <w:tc>
          <w:tcPr>
            <w:tcW w:w="2988" w:type="dxa"/>
            <w:gridSpan w:val="2"/>
          </w:tcPr>
          <w:p w14:paraId="1A5717D2" w14:textId="77777777" w:rsidR="0066049C" w:rsidRDefault="00660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24" w:type="dxa"/>
          </w:tcPr>
          <w:p w14:paraId="1A398305" w14:textId="77777777" w:rsidR="0066049C" w:rsidRDefault="00660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7D9A2043" w14:textId="77777777">
        <w:tc>
          <w:tcPr>
            <w:tcW w:w="2988" w:type="dxa"/>
            <w:gridSpan w:val="2"/>
          </w:tcPr>
          <w:p w14:paraId="3BF9623B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6224" w:type="dxa"/>
          </w:tcPr>
          <w:p w14:paraId="693A534A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Intercultural Communication</w:t>
            </w:r>
          </w:p>
        </w:tc>
      </w:tr>
      <w:tr w:rsidR="0066049C" w14:paraId="5E2EF154" w14:textId="77777777">
        <w:tc>
          <w:tcPr>
            <w:tcW w:w="2988" w:type="dxa"/>
            <w:gridSpan w:val="2"/>
          </w:tcPr>
          <w:p w14:paraId="1CD49723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Faculty/Institute</w:t>
            </w:r>
          </w:p>
        </w:tc>
        <w:tc>
          <w:tcPr>
            <w:tcW w:w="6224" w:type="dxa"/>
          </w:tcPr>
          <w:p w14:paraId="22B6E9AA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Faculty of Management, Chair for Theory of Organization and Management</w:t>
            </w:r>
          </w:p>
        </w:tc>
      </w:tr>
      <w:tr w:rsidR="0066049C" w14:paraId="31803AEC" w14:textId="77777777">
        <w:tc>
          <w:tcPr>
            <w:tcW w:w="2988" w:type="dxa"/>
            <w:gridSpan w:val="2"/>
          </w:tcPr>
          <w:p w14:paraId="49ED03CC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 which the course is offered </w:t>
            </w:r>
          </w:p>
        </w:tc>
        <w:tc>
          <w:tcPr>
            <w:tcW w:w="6224" w:type="dxa"/>
          </w:tcPr>
          <w:p w14:paraId="24B7929C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Faculty of Management</w:t>
            </w:r>
          </w:p>
        </w:tc>
      </w:tr>
      <w:tr w:rsidR="0066049C" w14:paraId="7905D034" w14:textId="77777777">
        <w:tc>
          <w:tcPr>
            <w:tcW w:w="2988" w:type="dxa"/>
            <w:gridSpan w:val="2"/>
            <w:shd w:val="clear" w:color="auto" w:fill="CCCCCC"/>
          </w:tcPr>
          <w:p w14:paraId="1F6137D1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Course ID</w:t>
            </w:r>
          </w:p>
        </w:tc>
        <w:tc>
          <w:tcPr>
            <w:tcW w:w="6224" w:type="dxa"/>
            <w:shd w:val="clear" w:color="auto" w:fill="CCCCCC"/>
          </w:tcPr>
          <w:p w14:paraId="6FA71CB9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2AB5F537" w14:textId="77777777">
        <w:tc>
          <w:tcPr>
            <w:tcW w:w="2988" w:type="dxa"/>
            <w:gridSpan w:val="2"/>
          </w:tcPr>
          <w:p w14:paraId="6F11436A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Erasmus code</w:t>
            </w:r>
          </w:p>
        </w:tc>
        <w:tc>
          <w:tcPr>
            <w:tcW w:w="6224" w:type="dxa"/>
          </w:tcPr>
          <w:p w14:paraId="04542256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1D557B5D" w14:textId="77777777">
        <w:tc>
          <w:tcPr>
            <w:tcW w:w="2988" w:type="dxa"/>
            <w:gridSpan w:val="2"/>
            <w:shd w:val="clear" w:color="auto" w:fill="CCCCCC"/>
          </w:tcPr>
          <w:p w14:paraId="218D0CC2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Course group</w:t>
            </w:r>
          </w:p>
        </w:tc>
        <w:tc>
          <w:tcPr>
            <w:tcW w:w="6224" w:type="dxa"/>
            <w:shd w:val="clear" w:color="auto" w:fill="CCCCCC"/>
          </w:tcPr>
          <w:p w14:paraId="3B2F36C8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33A213A2" w14:textId="77777777">
        <w:tc>
          <w:tcPr>
            <w:tcW w:w="2988" w:type="dxa"/>
            <w:gridSpan w:val="2"/>
          </w:tcPr>
          <w:p w14:paraId="736A570E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Didactic cycle</w:t>
            </w:r>
          </w:p>
        </w:tc>
        <w:tc>
          <w:tcPr>
            <w:tcW w:w="6224" w:type="dxa"/>
            <w:tcBorders>
              <w:bottom w:val="single" w:sz="4" w:space="0" w:color="000000"/>
            </w:tcBorders>
          </w:tcPr>
          <w:p w14:paraId="519A9DBC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semester</w:t>
            </w:r>
          </w:p>
        </w:tc>
      </w:tr>
      <w:tr w:rsidR="0066049C" w14:paraId="57E6AB86" w14:textId="77777777">
        <w:tc>
          <w:tcPr>
            <w:tcW w:w="2988" w:type="dxa"/>
            <w:gridSpan w:val="2"/>
          </w:tcPr>
          <w:p w14:paraId="6BD7FBA0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Type/form of class</w:t>
            </w:r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</w:tcBorders>
          </w:tcPr>
          <w:p w14:paraId="57DD17CB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Conversatory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6049C" w14:paraId="2212F037" w14:textId="77777777">
        <w:tc>
          <w:tcPr>
            <w:tcW w:w="2988" w:type="dxa"/>
            <w:gridSpan w:val="2"/>
          </w:tcPr>
          <w:p w14:paraId="474F1948" w14:textId="77777777" w:rsidR="0066049C" w:rsidRDefault="006F20C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Brief course description</w:t>
            </w:r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</w:tcBorders>
          </w:tcPr>
          <w:p w14:paraId="4089C4AF" w14:textId="77777777" w:rsidR="0066049C" w:rsidRDefault="006F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This course aims to introduce intercultural communication concepts and practice to students by taking a business and management perspective. The course contents will be synthesized from pertaining academic literature. This course will help students with th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 xml:space="preserve">e theories and practices to explore and understand intercultural communication concepts, their interdependencies and importance, especially turbulent times. </w:t>
            </w:r>
          </w:p>
          <w:p w14:paraId="004B4C23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3B49708" w14:textId="77777777" w:rsidR="0066049C" w:rsidRDefault="006F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The course is divided into sessions covering different aspects and areas of intercultural communi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cation, with special consideration given to the importance and influence of various concepts/constructs, their practical application and the benefits of competence. Sessions can be combined for a part-time delivery.</w:t>
            </w:r>
          </w:p>
        </w:tc>
      </w:tr>
      <w:tr w:rsidR="0066049C" w14:paraId="34113770" w14:textId="77777777">
        <w:tc>
          <w:tcPr>
            <w:tcW w:w="2988" w:type="dxa"/>
            <w:gridSpan w:val="2"/>
          </w:tcPr>
          <w:p w14:paraId="4B963BD5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 course description</w:t>
            </w:r>
          </w:p>
        </w:tc>
        <w:tc>
          <w:tcPr>
            <w:tcW w:w="6224" w:type="dxa"/>
            <w:tcBorders>
              <w:bottom w:val="single" w:sz="4" w:space="0" w:color="000000"/>
            </w:tcBorders>
          </w:tcPr>
          <w:p w14:paraId="5D8229A7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This course aim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s to introduce intercultural communication concepts to the students by taking a business and management perspective. The course contents will be synthesized from pertaining academic literature. This course will help the students with the theories and pract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 xml:space="preserve">ices to explore and understand intercultural communication concepts and their interdependencies, especially in turbulent times. </w:t>
            </w:r>
          </w:p>
          <w:p w14:paraId="6584CC40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329C9243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The course is divided into sessions covering different aspects and areas of intercultural communication, with special consider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ation given to the importance and influence of various concepts/constructs, their practical application and the benefits of competence.</w:t>
            </w:r>
          </w:p>
          <w:p w14:paraId="3BA3D41B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170CD964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2FC930A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 xml:space="preserve">Session 1: Determinants of Culture </w:t>
            </w:r>
          </w:p>
          <w:p w14:paraId="0EA1CBF0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70197FD7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Facets of Culture</w:t>
            </w:r>
          </w:p>
          <w:p w14:paraId="1D4A4A27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Levels of Cultures</w:t>
            </w:r>
          </w:p>
          <w:p w14:paraId="460B7523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409997AE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2: Dimensions of Culture</w:t>
            </w:r>
          </w:p>
          <w:p w14:paraId="5F5CD17D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06DD9C1A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Hofstede’s National Cultural Dimensions</w:t>
            </w:r>
          </w:p>
          <w:p w14:paraId="7EBA564D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Value Orientations &amp; Dimensions</w:t>
            </w:r>
          </w:p>
          <w:p w14:paraId="4D8DC567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2DADCF4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3: Managing Intercultural Negotiations</w:t>
            </w:r>
          </w:p>
          <w:p w14:paraId="315B62FE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19F188C3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Negotiating in an International Context</w:t>
            </w:r>
          </w:p>
          <w:p w14:paraId="62185630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AAF55DD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4: Managing Intercultural Conflict</w:t>
            </w:r>
          </w:p>
          <w:p w14:paraId="137DE4BE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FBCFE40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Understanding &amp; Dealing with Conflicts</w:t>
            </w:r>
          </w:p>
          <w:p w14:paraId="7072C40D" w14:textId="77777777" w:rsidR="0066049C" w:rsidRDefault="0066049C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D808A7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 xml:space="preserve">Session 5: Business Communication Across Cultures </w:t>
            </w:r>
          </w:p>
          <w:p w14:paraId="63D0D817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5DFEDA12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Communicating Verbally</w:t>
            </w:r>
          </w:p>
          <w:p w14:paraId="1500DE13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Communicating Non-verbally</w:t>
            </w:r>
          </w:p>
          <w:p w14:paraId="5D544A34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05AF9BCA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6: Working Effectively in an International Environment</w:t>
            </w:r>
          </w:p>
          <w:p w14:paraId="3CF84144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EC9FFA" w14:textId="77777777" w:rsidR="0066049C" w:rsidRDefault="006F20C0">
            <w:pPr>
              <w:numPr>
                <w:ilvl w:val="1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Dynamics of Global Teams</w:t>
            </w:r>
          </w:p>
          <w:p w14:paraId="02C1FE3C" w14:textId="77777777" w:rsidR="0066049C" w:rsidRDefault="006F20C0">
            <w:pPr>
              <w:numPr>
                <w:ilvl w:val="1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Intercultural Communicative Competence (ICC)</w:t>
            </w:r>
          </w:p>
          <w:p w14:paraId="6742F10D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2674D7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Session 7: On-line Examination</w:t>
            </w:r>
          </w:p>
          <w:p w14:paraId="745D22E9" w14:textId="77777777" w:rsidR="0066049C" w:rsidRDefault="0066049C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04E82599" w14:textId="77777777">
        <w:trPr>
          <w:cantSplit/>
        </w:trPr>
        <w:tc>
          <w:tcPr>
            <w:tcW w:w="1494" w:type="dxa"/>
            <w:vMerge w:val="restart"/>
          </w:tcPr>
          <w:p w14:paraId="138881A8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14:paraId="76E2C5D2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Formal </w:t>
            </w:r>
          </w:p>
          <w:p w14:paraId="74CC078A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prerquisites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</w:tcBorders>
          </w:tcPr>
          <w:p w14:paraId="524A3BE2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None</w:t>
            </w:r>
          </w:p>
        </w:tc>
      </w:tr>
      <w:tr w:rsidR="0066049C" w14:paraId="00D7EBD0" w14:textId="77777777">
        <w:trPr>
          <w:cantSplit/>
        </w:trPr>
        <w:tc>
          <w:tcPr>
            <w:tcW w:w="1494" w:type="dxa"/>
            <w:vMerge/>
          </w:tcPr>
          <w:p w14:paraId="58F6FF8D" w14:textId="77777777" w:rsidR="0066049C" w:rsidRDefault="00660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E101A"/>
              </w:rPr>
            </w:pPr>
          </w:p>
        </w:tc>
        <w:tc>
          <w:tcPr>
            <w:tcW w:w="1494" w:type="dxa"/>
          </w:tcPr>
          <w:p w14:paraId="16B69B11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prerquisites</w:t>
            </w:r>
            <w:proofErr w:type="spellEnd"/>
          </w:p>
        </w:tc>
        <w:tc>
          <w:tcPr>
            <w:tcW w:w="6224" w:type="dxa"/>
          </w:tcPr>
          <w:p w14:paraId="7667A2A8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None</w:t>
            </w:r>
          </w:p>
        </w:tc>
      </w:tr>
      <w:tr w:rsidR="0066049C" w14:paraId="77543E52" w14:textId="77777777">
        <w:tc>
          <w:tcPr>
            <w:tcW w:w="2988" w:type="dxa"/>
            <w:gridSpan w:val="2"/>
          </w:tcPr>
          <w:p w14:paraId="767E49E0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outcomes</w:t>
            </w:r>
          </w:p>
        </w:tc>
        <w:tc>
          <w:tcPr>
            <w:tcW w:w="6224" w:type="dxa"/>
          </w:tcPr>
          <w:p w14:paraId="65E502DF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successfully completing this course are expected to be able to: </w:t>
            </w:r>
          </w:p>
          <w:p w14:paraId="1DAC0AFE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E6DEA" w14:textId="77777777" w:rsidR="0066049C" w:rsidRDefault="006F20C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 a comprehensive understanding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intercultual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communication and its influence in business. </w:t>
            </w:r>
          </w:p>
          <w:p w14:paraId="4C3B9A53" w14:textId="77777777" w:rsidR="0066049C" w:rsidRDefault="006F20C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understand, assess and analyze the importance of intercultu</w:t>
            </w:r>
            <w:r>
              <w:rPr>
                <w:rFonts w:ascii="Arial" w:eastAsia="Arial" w:hAnsi="Arial" w:cs="Arial"/>
                <w:sz w:val="18"/>
                <w:szCs w:val="18"/>
              </w:rPr>
              <w:t>ral communication to effective business and beyond</w:t>
            </w:r>
          </w:p>
          <w:p w14:paraId="259C46C8" w14:textId="77777777" w:rsidR="0066049C" w:rsidRDefault="006F20C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gain academic &amp; managerial skills by understanding and synthesizing academic articles and undertaking practical exercises.</w:t>
            </w:r>
          </w:p>
        </w:tc>
      </w:tr>
      <w:tr w:rsidR="0066049C" w14:paraId="3A408026" w14:textId="77777777">
        <w:tc>
          <w:tcPr>
            <w:tcW w:w="2988" w:type="dxa"/>
            <w:gridSpan w:val="2"/>
          </w:tcPr>
          <w:p w14:paraId="75E7BD8E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ECTS credits</w:t>
            </w:r>
          </w:p>
        </w:tc>
        <w:tc>
          <w:tcPr>
            <w:tcW w:w="6224" w:type="dxa"/>
          </w:tcPr>
          <w:p w14:paraId="565FF4D5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ECTS</w:t>
            </w:r>
          </w:p>
        </w:tc>
      </w:tr>
      <w:tr w:rsidR="0066049C" w14:paraId="58B37F6A" w14:textId="77777777">
        <w:tc>
          <w:tcPr>
            <w:tcW w:w="2988" w:type="dxa"/>
            <w:gridSpan w:val="2"/>
          </w:tcPr>
          <w:p w14:paraId="5780F371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Assessment  methods and criteria</w:t>
            </w:r>
          </w:p>
        </w:tc>
        <w:tc>
          <w:tcPr>
            <w:tcW w:w="6224" w:type="dxa"/>
          </w:tcPr>
          <w:p w14:paraId="09081464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Final examination in the form of on-line test: 100%</w:t>
            </w:r>
          </w:p>
          <w:p w14:paraId="1602E7BE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Passing threshold: 60%</w:t>
            </w:r>
          </w:p>
          <w:p w14:paraId="08812C55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E8E7738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1A807DFB" w14:textId="77777777" w:rsidR="0066049C" w:rsidRDefault="006F20C0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DESCRIPTION OF THE EXAMINATION:</w:t>
            </w:r>
          </w:p>
          <w:p w14:paraId="4E6DC978" w14:textId="77777777" w:rsidR="0066049C" w:rsidRDefault="0066049C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4D6DEC7" w14:textId="77777777" w:rsidR="0066049C" w:rsidRDefault="006F20C0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25 complex questions covering all taught topics and practical exercises. 4 marks per question.</w:t>
            </w:r>
          </w:p>
          <w:p w14:paraId="222D5E7F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418EFEAF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5CD6388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GRADING: </w:t>
            </w:r>
          </w:p>
          <w:tbl>
            <w:tblPr>
              <w:tblStyle w:val="a0"/>
              <w:tblW w:w="3323" w:type="dxa"/>
              <w:tblInd w:w="2095" w:type="dxa"/>
              <w:tblLayout w:type="fixed"/>
              <w:tblLook w:val="0000" w:firstRow="0" w:lastRow="0" w:firstColumn="0" w:lastColumn="0" w:noHBand="0" w:noVBand="0"/>
            </w:tblPr>
            <w:tblGrid>
              <w:gridCol w:w="1793"/>
              <w:gridCol w:w="450"/>
              <w:gridCol w:w="1080"/>
            </w:tblGrid>
            <w:tr w:rsidR="0066049C" w14:paraId="6D05870D" w14:textId="77777777">
              <w:tc>
                <w:tcPr>
                  <w:tcW w:w="1793" w:type="dxa"/>
                </w:tcPr>
                <w:p w14:paraId="537017B8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90% 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450" w:type="dxa"/>
                </w:tcPr>
                <w:p w14:paraId="0E4ADA58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68A7160B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</w:p>
              </w:tc>
            </w:tr>
            <w:tr w:rsidR="0066049C" w14:paraId="2ABF08B0" w14:textId="77777777">
              <w:tc>
                <w:tcPr>
                  <w:tcW w:w="1793" w:type="dxa"/>
                </w:tcPr>
                <w:p w14:paraId="081ADC83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80% - 89%</w:t>
                  </w:r>
                </w:p>
              </w:tc>
              <w:tc>
                <w:tcPr>
                  <w:tcW w:w="450" w:type="dxa"/>
                </w:tcPr>
                <w:p w14:paraId="098A3887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16A74998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</w:t>
                  </w:r>
                </w:p>
              </w:tc>
            </w:tr>
            <w:tr w:rsidR="0066049C" w14:paraId="79CB812A" w14:textId="77777777">
              <w:tc>
                <w:tcPr>
                  <w:tcW w:w="1793" w:type="dxa"/>
                </w:tcPr>
                <w:p w14:paraId="7DBD11D0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70% - 79%</w:t>
                  </w:r>
                </w:p>
              </w:tc>
              <w:tc>
                <w:tcPr>
                  <w:tcW w:w="450" w:type="dxa"/>
                </w:tcPr>
                <w:p w14:paraId="59615C83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0726E27D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66049C" w14:paraId="0D02280F" w14:textId="77777777">
              <w:tc>
                <w:tcPr>
                  <w:tcW w:w="1793" w:type="dxa"/>
                </w:tcPr>
                <w:p w14:paraId="0F272B76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60% - 69%</w:t>
                  </w:r>
                </w:p>
              </w:tc>
              <w:tc>
                <w:tcPr>
                  <w:tcW w:w="450" w:type="dxa"/>
                </w:tcPr>
                <w:p w14:paraId="6CBB0370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5D7FDB05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</w:p>
              </w:tc>
            </w:tr>
            <w:tr w:rsidR="0066049C" w14:paraId="116C5CE8" w14:textId="77777777">
              <w:tc>
                <w:tcPr>
                  <w:tcW w:w="1793" w:type="dxa"/>
                </w:tcPr>
                <w:p w14:paraId="26C787BD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&lt; 60%</w:t>
                  </w:r>
                </w:p>
              </w:tc>
              <w:tc>
                <w:tcPr>
                  <w:tcW w:w="450" w:type="dxa"/>
                </w:tcPr>
                <w:p w14:paraId="4FAF31A7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0F10C543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 (Fail)</w:t>
                  </w:r>
                </w:p>
              </w:tc>
            </w:tr>
          </w:tbl>
          <w:p w14:paraId="0534E14A" w14:textId="77777777" w:rsidR="0066049C" w:rsidRDefault="0066049C">
            <w:pPr>
              <w:jc w:val="both"/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66049C" w14:paraId="56A98AFA" w14:textId="77777777">
        <w:tc>
          <w:tcPr>
            <w:tcW w:w="2988" w:type="dxa"/>
            <w:gridSpan w:val="2"/>
          </w:tcPr>
          <w:p w14:paraId="792BF3CD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Type of examination</w:t>
            </w:r>
          </w:p>
        </w:tc>
        <w:tc>
          <w:tcPr>
            <w:tcW w:w="6224" w:type="dxa"/>
          </w:tcPr>
          <w:p w14:paraId="2634E7B3" w14:textId="77777777" w:rsidR="0066049C" w:rsidRDefault="006F20C0">
            <w:pPr>
              <w:pStyle w:val="Nagwek2"/>
              <w:jc w:val="both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Graded credit</w:t>
            </w:r>
          </w:p>
        </w:tc>
      </w:tr>
      <w:tr w:rsidR="0066049C" w14:paraId="62D6C00F" w14:textId="77777777">
        <w:tc>
          <w:tcPr>
            <w:tcW w:w="2988" w:type="dxa"/>
            <w:gridSpan w:val="2"/>
          </w:tcPr>
          <w:p w14:paraId="41458791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Type of course</w:t>
            </w:r>
          </w:p>
        </w:tc>
        <w:tc>
          <w:tcPr>
            <w:tcW w:w="6224" w:type="dxa"/>
          </w:tcPr>
          <w:p w14:paraId="236E8AFD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Conversaotry</w:t>
            </w:r>
            <w:proofErr w:type="spellEnd"/>
          </w:p>
        </w:tc>
      </w:tr>
      <w:tr w:rsidR="0066049C" w14:paraId="0A2C225D" w14:textId="77777777">
        <w:tc>
          <w:tcPr>
            <w:tcW w:w="2988" w:type="dxa"/>
            <w:gridSpan w:val="2"/>
          </w:tcPr>
          <w:p w14:paraId="6392E979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 of delivery</w:t>
            </w:r>
          </w:p>
        </w:tc>
        <w:tc>
          <w:tcPr>
            <w:tcW w:w="6224" w:type="dxa"/>
          </w:tcPr>
          <w:p w14:paraId="1613A1A0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</w:tr>
      <w:tr w:rsidR="0066049C" w14:paraId="7475EA4D" w14:textId="77777777">
        <w:tc>
          <w:tcPr>
            <w:tcW w:w="2988" w:type="dxa"/>
            <w:gridSpan w:val="2"/>
          </w:tcPr>
          <w:p w14:paraId="5A2EF5D7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Language of instruction</w:t>
            </w:r>
          </w:p>
        </w:tc>
        <w:tc>
          <w:tcPr>
            <w:tcW w:w="6224" w:type="dxa"/>
          </w:tcPr>
          <w:p w14:paraId="569A31D0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</w:tr>
      <w:tr w:rsidR="0066049C" w14:paraId="18AF11B8" w14:textId="77777777">
        <w:tc>
          <w:tcPr>
            <w:tcW w:w="2988" w:type="dxa"/>
            <w:gridSpan w:val="2"/>
          </w:tcPr>
          <w:p w14:paraId="6AAA81D5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Bibliography </w:t>
            </w:r>
          </w:p>
        </w:tc>
        <w:tc>
          <w:tcPr>
            <w:tcW w:w="6224" w:type="dxa"/>
          </w:tcPr>
          <w:p w14:paraId="2A43BDF1" w14:textId="77777777" w:rsidR="0066049C" w:rsidRDefault="006F20C0">
            <w:pPr>
              <w:pStyle w:val="Nagwek2"/>
              <w:spacing w:after="28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Browaeys</w:t>
            </w:r>
            <w:proofErr w:type="spellEnd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&amp; Price, Understanding Cross Cultural Management, 4th Edition, Pearson</w:t>
            </w:r>
          </w:p>
          <w:p w14:paraId="03DAA02B" w14:textId="77777777" w:rsidR="0066049C" w:rsidRDefault="006F20C0">
            <w:pPr>
              <w:pStyle w:val="Nagwek2"/>
              <w:spacing w:before="280" w:after="28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Jackson, The Routledge Book of Language &amp; Intercultural Communication</w:t>
            </w:r>
          </w:p>
          <w:p w14:paraId="753F4E63" w14:textId="77777777" w:rsidR="0066049C" w:rsidRDefault="006F20C0">
            <w:pPr>
              <w:pStyle w:val="Nagwek2"/>
              <w:spacing w:before="28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Piller</w:t>
            </w:r>
            <w:proofErr w:type="spellEnd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Interncultural</w:t>
            </w:r>
            <w:proofErr w:type="spellEnd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Communication: A Critical Introduction, Edinburgh University Press</w:t>
            </w:r>
          </w:p>
        </w:tc>
      </w:tr>
      <w:tr w:rsidR="0066049C" w14:paraId="67DDECA5" w14:textId="77777777">
        <w:tc>
          <w:tcPr>
            <w:tcW w:w="2988" w:type="dxa"/>
            <w:gridSpan w:val="2"/>
          </w:tcPr>
          <w:p w14:paraId="0F478D19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placement(s)</w:t>
            </w:r>
          </w:p>
        </w:tc>
        <w:tc>
          <w:tcPr>
            <w:tcW w:w="6224" w:type="dxa"/>
          </w:tcPr>
          <w:p w14:paraId="46FCB5F9" w14:textId="77777777" w:rsidR="0066049C" w:rsidRDefault="006F20C0">
            <w:pPr>
              <w:pStyle w:val="Nagwek2"/>
              <w:jc w:val="both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na</w:t>
            </w:r>
            <w:proofErr w:type="spellEnd"/>
          </w:p>
        </w:tc>
      </w:tr>
      <w:tr w:rsidR="0066049C" w14:paraId="7857D7BB" w14:textId="77777777">
        <w:tc>
          <w:tcPr>
            <w:tcW w:w="2988" w:type="dxa"/>
            <w:gridSpan w:val="2"/>
          </w:tcPr>
          <w:p w14:paraId="47CC51F4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Course coordinator</w:t>
            </w:r>
          </w:p>
        </w:tc>
        <w:tc>
          <w:tcPr>
            <w:tcW w:w="6224" w:type="dxa"/>
          </w:tcPr>
          <w:p w14:paraId="0470D995" w14:textId="77777777" w:rsidR="0066049C" w:rsidRDefault="006F20C0">
            <w:pPr>
              <w:pStyle w:val="Nagwek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Katarzyna Dziewanowska</w:t>
            </w:r>
          </w:p>
        </w:tc>
      </w:tr>
      <w:tr w:rsidR="0066049C" w14:paraId="15A12552" w14:textId="77777777">
        <w:tc>
          <w:tcPr>
            <w:tcW w:w="2988" w:type="dxa"/>
            <w:gridSpan w:val="2"/>
          </w:tcPr>
          <w:p w14:paraId="5CFC2063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Academic teachers </w:t>
            </w:r>
          </w:p>
        </w:tc>
        <w:tc>
          <w:tcPr>
            <w:tcW w:w="6224" w:type="dxa"/>
          </w:tcPr>
          <w:p w14:paraId="4F734EC1" w14:textId="77777777" w:rsidR="0066049C" w:rsidRDefault="006F20C0">
            <w:pPr>
              <w:pStyle w:val="Nagwek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Alison Pearce</w:t>
            </w:r>
          </w:p>
        </w:tc>
      </w:tr>
      <w:tr w:rsidR="0066049C" w14:paraId="368890B6" w14:textId="77777777">
        <w:tc>
          <w:tcPr>
            <w:tcW w:w="2988" w:type="dxa"/>
            <w:gridSpan w:val="2"/>
          </w:tcPr>
          <w:p w14:paraId="62218125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Remarks</w:t>
            </w:r>
          </w:p>
        </w:tc>
        <w:tc>
          <w:tcPr>
            <w:tcW w:w="6224" w:type="dxa"/>
          </w:tcPr>
          <w:p w14:paraId="3A6457C9" w14:textId="77777777" w:rsidR="0066049C" w:rsidRDefault="0066049C">
            <w:pPr>
              <w:pStyle w:val="Nagwek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</w:tbl>
    <w:p w14:paraId="30247607" w14:textId="77777777" w:rsidR="0066049C" w:rsidRDefault="0066049C">
      <w:pPr>
        <w:rPr>
          <w:rFonts w:ascii="Arial" w:eastAsia="Arial" w:hAnsi="Arial" w:cs="Arial"/>
          <w:sz w:val="18"/>
          <w:szCs w:val="18"/>
        </w:rPr>
      </w:pPr>
    </w:p>
    <w:p w14:paraId="01D0B134" w14:textId="77777777" w:rsidR="0066049C" w:rsidRDefault="0066049C">
      <w:pPr>
        <w:rPr>
          <w:rFonts w:ascii="Arial" w:eastAsia="Arial" w:hAnsi="Arial" w:cs="Arial"/>
          <w:sz w:val="18"/>
          <w:szCs w:val="18"/>
        </w:rPr>
      </w:pPr>
    </w:p>
    <w:p w14:paraId="3E2AD662" w14:textId="77777777" w:rsidR="0066049C" w:rsidRDefault="006F20C0">
      <w:pPr>
        <w:spacing w:after="120"/>
        <w:ind w:left="360" w:hanging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B. Detailed information</w:t>
      </w:r>
    </w:p>
    <w:tbl>
      <w:tblPr>
        <w:tblStyle w:val="a1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224"/>
      </w:tblGrid>
      <w:tr w:rsidR="0066049C" w14:paraId="6AA32A8A" w14:textId="77777777">
        <w:tc>
          <w:tcPr>
            <w:tcW w:w="2988" w:type="dxa"/>
          </w:tcPr>
          <w:p w14:paraId="0C6F33D1" w14:textId="77777777" w:rsidR="0066049C" w:rsidRDefault="00660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24" w:type="dxa"/>
          </w:tcPr>
          <w:p w14:paraId="2123849C" w14:textId="77777777" w:rsidR="0066049C" w:rsidRDefault="00660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32DFE16A" w14:textId="77777777">
        <w:tc>
          <w:tcPr>
            <w:tcW w:w="2988" w:type="dxa"/>
          </w:tcPr>
          <w:p w14:paraId="10A3D01F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the academic teacher</w:t>
            </w:r>
          </w:p>
        </w:tc>
        <w:tc>
          <w:tcPr>
            <w:tcW w:w="6224" w:type="dxa"/>
          </w:tcPr>
          <w:p w14:paraId="7773DC85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Alison Pearce</w:t>
            </w:r>
          </w:p>
        </w:tc>
      </w:tr>
      <w:tr w:rsidR="0066049C" w14:paraId="2C96A4BF" w14:textId="77777777">
        <w:tc>
          <w:tcPr>
            <w:tcW w:w="2988" w:type="dxa"/>
          </w:tcPr>
          <w:p w14:paraId="51D7662A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Academic degree</w:t>
            </w:r>
          </w:p>
        </w:tc>
        <w:tc>
          <w:tcPr>
            <w:tcW w:w="6224" w:type="dxa"/>
          </w:tcPr>
          <w:p w14:paraId="4F773E1C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Doctorate in Business Administration</w:t>
            </w:r>
          </w:p>
        </w:tc>
      </w:tr>
      <w:tr w:rsidR="0066049C" w14:paraId="0C2FC05B" w14:textId="77777777">
        <w:tc>
          <w:tcPr>
            <w:tcW w:w="2988" w:type="dxa"/>
          </w:tcPr>
          <w:p w14:paraId="2A3AEE6F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  of  the class</w:t>
            </w:r>
          </w:p>
        </w:tc>
        <w:tc>
          <w:tcPr>
            <w:tcW w:w="6224" w:type="dxa"/>
          </w:tcPr>
          <w:p w14:paraId="31D9D0E5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Conversatory</w:t>
            </w:r>
            <w:proofErr w:type="spellEnd"/>
          </w:p>
        </w:tc>
      </w:tr>
      <w:tr w:rsidR="0066049C" w14:paraId="353742E2" w14:textId="77777777">
        <w:tc>
          <w:tcPr>
            <w:tcW w:w="2988" w:type="dxa"/>
          </w:tcPr>
          <w:p w14:paraId="1EF30A66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outcomes</w:t>
            </w:r>
          </w:p>
        </w:tc>
        <w:tc>
          <w:tcPr>
            <w:tcW w:w="6224" w:type="dxa"/>
          </w:tcPr>
          <w:p w14:paraId="6CE2AC64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successfully completing this course are expected to be able to: </w:t>
            </w:r>
          </w:p>
          <w:p w14:paraId="4EFC6127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27F381" w14:textId="77777777" w:rsidR="0066049C" w:rsidRDefault="006F20C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 a comprehensive understanding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intercultual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communication and its influence in business. </w:t>
            </w:r>
          </w:p>
          <w:p w14:paraId="6EB569A3" w14:textId="77777777" w:rsidR="0066049C" w:rsidRDefault="006F20C0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understand, assess and analyze the importance of intercultural 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to effective business and beyond</w:t>
            </w:r>
          </w:p>
          <w:p w14:paraId="40A280E2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gain academic &amp; managerial skills by understanding and synthesizing academic articles and undertaking practical exercises.</w:t>
            </w:r>
          </w:p>
        </w:tc>
      </w:tr>
      <w:tr w:rsidR="0066049C" w14:paraId="722DE4E7" w14:textId="77777777">
        <w:tc>
          <w:tcPr>
            <w:tcW w:w="2988" w:type="dxa"/>
          </w:tcPr>
          <w:p w14:paraId="240D9758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Assessment  methods and criteria for this course</w:t>
            </w:r>
          </w:p>
        </w:tc>
        <w:tc>
          <w:tcPr>
            <w:tcW w:w="6224" w:type="dxa"/>
          </w:tcPr>
          <w:p w14:paraId="3873CA22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4D1E58E9" w14:textId="77777777" w:rsidR="0066049C" w:rsidRDefault="006F20C0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DESCRIPTION OF T</w:t>
            </w:r>
          </w:p>
          <w:p w14:paraId="2045C554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2FAFE376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Final examination in the form of on-line test: 100%</w:t>
            </w:r>
          </w:p>
          <w:p w14:paraId="09B5E556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Passing threshold: 60%</w:t>
            </w:r>
          </w:p>
          <w:p w14:paraId="222BC1F3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03BC597A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BC15AC2" w14:textId="77777777" w:rsidR="0066049C" w:rsidRDefault="006F20C0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DESCRIPTION OF THE EXAMINATION:</w:t>
            </w:r>
          </w:p>
          <w:p w14:paraId="73C3C294" w14:textId="77777777" w:rsidR="0066049C" w:rsidRDefault="0066049C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380C9C94" w14:textId="77777777" w:rsidR="0066049C" w:rsidRDefault="006F20C0">
            <w:pPr>
              <w:jc w:val="center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25 complex questions covering all taught topics and practical exercises. 4 marks per question.</w:t>
            </w:r>
          </w:p>
          <w:p w14:paraId="56DFBA7F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0028715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C050E83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GRADING: </w:t>
            </w:r>
          </w:p>
          <w:tbl>
            <w:tblPr>
              <w:tblStyle w:val="a2"/>
              <w:tblW w:w="3323" w:type="dxa"/>
              <w:tblInd w:w="2095" w:type="dxa"/>
              <w:tblLayout w:type="fixed"/>
              <w:tblLook w:val="0000" w:firstRow="0" w:lastRow="0" w:firstColumn="0" w:lastColumn="0" w:noHBand="0" w:noVBand="0"/>
            </w:tblPr>
            <w:tblGrid>
              <w:gridCol w:w="1793"/>
              <w:gridCol w:w="450"/>
              <w:gridCol w:w="1080"/>
            </w:tblGrid>
            <w:tr w:rsidR="0066049C" w14:paraId="78959097" w14:textId="77777777">
              <w:tc>
                <w:tcPr>
                  <w:tcW w:w="1793" w:type="dxa"/>
                </w:tcPr>
                <w:p w14:paraId="490AA848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90% - 100%</w:t>
                  </w:r>
                </w:p>
              </w:tc>
              <w:tc>
                <w:tcPr>
                  <w:tcW w:w="450" w:type="dxa"/>
                </w:tcPr>
                <w:p w14:paraId="38E6B330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05751AE6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</w:p>
              </w:tc>
            </w:tr>
            <w:tr w:rsidR="0066049C" w14:paraId="5D5C12F9" w14:textId="77777777">
              <w:tc>
                <w:tcPr>
                  <w:tcW w:w="1793" w:type="dxa"/>
                </w:tcPr>
                <w:p w14:paraId="1CD8E30C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80% - 89%</w:t>
                  </w:r>
                </w:p>
              </w:tc>
              <w:tc>
                <w:tcPr>
                  <w:tcW w:w="450" w:type="dxa"/>
                </w:tcPr>
                <w:p w14:paraId="478B164E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3DE38B19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</w:t>
                  </w:r>
                </w:p>
              </w:tc>
            </w:tr>
            <w:tr w:rsidR="0066049C" w14:paraId="442C4404" w14:textId="77777777">
              <w:tc>
                <w:tcPr>
                  <w:tcW w:w="1793" w:type="dxa"/>
                </w:tcPr>
                <w:p w14:paraId="3050D2F1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70% - 79%</w:t>
                  </w:r>
                </w:p>
              </w:tc>
              <w:tc>
                <w:tcPr>
                  <w:tcW w:w="450" w:type="dxa"/>
                </w:tcPr>
                <w:p w14:paraId="27B94464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098165D5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66049C" w14:paraId="7640910F" w14:textId="77777777">
              <w:tc>
                <w:tcPr>
                  <w:tcW w:w="1793" w:type="dxa"/>
                </w:tcPr>
                <w:p w14:paraId="713A2AA9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60% - 69%</w:t>
                  </w:r>
                </w:p>
              </w:tc>
              <w:tc>
                <w:tcPr>
                  <w:tcW w:w="450" w:type="dxa"/>
                </w:tcPr>
                <w:p w14:paraId="5F839419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55D562EA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</w:p>
              </w:tc>
            </w:tr>
            <w:tr w:rsidR="0066049C" w14:paraId="26C39DE6" w14:textId="77777777">
              <w:tc>
                <w:tcPr>
                  <w:tcW w:w="1793" w:type="dxa"/>
                </w:tcPr>
                <w:p w14:paraId="2609D56D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&lt; 60%</w:t>
                  </w:r>
                </w:p>
              </w:tc>
              <w:tc>
                <w:tcPr>
                  <w:tcW w:w="450" w:type="dxa"/>
                </w:tcPr>
                <w:p w14:paraId="624D7C81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51AE4CC2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 (Fail)</w:t>
                  </w:r>
                </w:p>
              </w:tc>
            </w:tr>
          </w:tbl>
          <w:p w14:paraId="398D37DA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3"/>
              <w:tblW w:w="3323" w:type="dxa"/>
              <w:tblInd w:w="2095" w:type="dxa"/>
              <w:tblLayout w:type="fixed"/>
              <w:tblLook w:val="0000" w:firstRow="0" w:lastRow="0" w:firstColumn="0" w:lastColumn="0" w:noHBand="0" w:noVBand="0"/>
            </w:tblPr>
            <w:tblGrid>
              <w:gridCol w:w="1793"/>
              <w:gridCol w:w="450"/>
              <w:gridCol w:w="1080"/>
            </w:tblGrid>
            <w:tr w:rsidR="0066049C" w14:paraId="0395E90D" w14:textId="77777777">
              <w:tc>
                <w:tcPr>
                  <w:tcW w:w="1793" w:type="dxa"/>
                </w:tcPr>
                <w:p w14:paraId="79A481FB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&lt; 50%</w:t>
                  </w:r>
                </w:p>
              </w:tc>
              <w:tc>
                <w:tcPr>
                  <w:tcW w:w="450" w:type="dxa"/>
                </w:tcPr>
                <w:p w14:paraId="371B6794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080" w:type="dxa"/>
                </w:tcPr>
                <w:p w14:paraId="31617A19" w14:textId="77777777" w:rsidR="0066049C" w:rsidRDefault="006F20C0">
                  <w:pPr>
                    <w:tabs>
                      <w:tab w:val="left" w:pos="5215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 (Fail)</w:t>
                  </w:r>
                </w:p>
              </w:tc>
            </w:tr>
          </w:tbl>
          <w:p w14:paraId="291A54A4" w14:textId="77777777" w:rsidR="0066049C" w:rsidRDefault="0066049C">
            <w:pPr>
              <w:jc w:val="both"/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66049C" w14:paraId="4E1A18B3" w14:textId="77777777">
        <w:tc>
          <w:tcPr>
            <w:tcW w:w="2988" w:type="dxa"/>
          </w:tcPr>
          <w:p w14:paraId="65B35D23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Type of examination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4" w:type="dxa"/>
          </w:tcPr>
          <w:p w14:paraId="2D090539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Graded credit</w:t>
            </w:r>
          </w:p>
        </w:tc>
      </w:tr>
      <w:tr w:rsidR="0066049C" w14:paraId="0633E1CC" w14:textId="77777777">
        <w:tc>
          <w:tcPr>
            <w:tcW w:w="2988" w:type="dxa"/>
          </w:tcPr>
          <w:p w14:paraId="5A325F52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list of topics</w:t>
            </w:r>
          </w:p>
        </w:tc>
        <w:tc>
          <w:tcPr>
            <w:tcW w:w="6224" w:type="dxa"/>
          </w:tcPr>
          <w:p w14:paraId="597FB3E4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This course aims to introduce intercultural communication concepts to the students by taking a business and management perspective. The course contents will be synthesized from pertaining academic literature. This course will help the students with the the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 xml:space="preserve">ories and practices to explore and understand intercultural communication concepts and their interdependencies, especially in turbulent times. </w:t>
            </w:r>
          </w:p>
          <w:p w14:paraId="13250946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0EE174EF" w14:textId="77777777" w:rsidR="0066049C" w:rsidRDefault="006F20C0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The course is divided into sessions covering different aspects and areas of intercultural communication, with s</w:t>
            </w: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pecial consideration given to the importance and influence of various concepts/constructs, their practical application and the benefits of competence.</w:t>
            </w:r>
          </w:p>
          <w:p w14:paraId="7A4FB8A2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F6B0773" w14:textId="77777777" w:rsidR="0066049C" w:rsidRDefault="0066049C">
            <w:pPr>
              <w:jc w:val="both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2809B67F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 xml:space="preserve">Session 1: Determinants of Culture </w:t>
            </w:r>
          </w:p>
          <w:p w14:paraId="17AAF94F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152B1701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Facets of Culture</w:t>
            </w:r>
          </w:p>
          <w:p w14:paraId="311E49E5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Levels of Cultures</w:t>
            </w:r>
          </w:p>
          <w:p w14:paraId="7205A96F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5E41FFF5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2: Dimensions of Culture</w:t>
            </w:r>
          </w:p>
          <w:p w14:paraId="250544EE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563219A7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Hofstede’s National Cultural Dimensions</w:t>
            </w:r>
          </w:p>
          <w:p w14:paraId="5B0F088A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Value Orientations &amp; Dimensions</w:t>
            </w:r>
          </w:p>
          <w:p w14:paraId="6AC76D0C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7FAF5A2B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3: Managing Intercultural Negotiations</w:t>
            </w:r>
          </w:p>
          <w:p w14:paraId="05232AB9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312A9B81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Negotiating in an International Context</w:t>
            </w:r>
          </w:p>
          <w:p w14:paraId="4A9C625A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C760344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4: Managing Intercultural Conflict</w:t>
            </w:r>
          </w:p>
          <w:p w14:paraId="0668291D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64FDF61B" w14:textId="77777777" w:rsidR="0066049C" w:rsidRDefault="006F20C0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Understanding &amp; Dealing with Conflicts</w:t>
            </w:r>
          </w:p>
          <w:p w14:paraId="7DD748F7" w14:textId="77777777" w:rsidR="0066049C" w:rsidRDefault="0066049C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171FCB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 xml:space="preserve">Session 5: Business Communication Across Cultures </w:t>
            </w:r>
          </w:p>
          <w:p w14:paraId="5D2B9685" w14:textId="77777777" w:rsidR="0066049C" w:rsidRDefault="0066049C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</w:p>
          <w:p w14:paraId="6C3A5C1B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Communicating Verbally</w:t>
            </w:r>
          </w:p>
          <w:p w14:paraId="15EC7850" w14:textId="77777777" w:rsidR="0066049C" w:rsidRDefault="006F20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</w:rPr>
              <w:t>Communicating Non-verbally</w:t>
            </w:r>
          </w:p>
          <w:p w14:paraId="2BD05C52" w14:textId="77777777" w:rsidR="0066049C" w:rsidRDefault="0066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E101A"/>
                <w:sz w:val="18"/>
                <w:szCs w:val="18"/>
              </w:rPr>
            </w:pPr>
          </w:p>
          <w:p w14:paraId="737285A9" w14:textId="77777777" w:rsidR="0066049C" w:rsidRDefault="006F20C0">
            <w:pP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E101A"/>
                <w:sz w:val="18"/>
                <w:szCs w:val="18"/>
                <w:u w:val="single"/>
              </w:rPr>
              <w:t>Session 6: Working Effectively in an International Environment</w:t>
            </w:r>
          </w:p>
          <w:p w14:paraId="0B7E965D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25B2BE7" w14:textId="77777777" w:rsidR="0066049C" w:rsidRDefault="006F20C0">
            <w:pPr>
              <w:numPr>
                <w:ilvl w:val="1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Dynamics of Global Teams</w:t>
            </w:r>
          </w:p>
          <w:p w14:paraId="4EB006A6" w14:textId="77777777" w:rsidR="0066049C" w:rsidRDefault="006F20C0">
            <w:pPr>
              <w:numPr>
                <w:ilvl w:val="1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Developing Intercultural Communicative Competence (ICC)</w:t>
            </w:r>
          </w:p>
          <w:p w14:paraId="51FBDDF4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7EB6B4" w14:textId="77777777" w:rsidR="0066049C" w:rsidRDefault="00660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0E3DAF02" w14:textId="77777777">
        <w:tc>
          <w:tcPr>
            <w:tcW w:w="2988" w:type="dxa"/>
          </w:tcPr>
          <w:p w14:paraId="0F6A10C0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activities and teaching</w:t>
            </w:r>
          </w:p>
          <w:p w14:paraId="73114DB8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</w:p>
        </w:tc>
        <w:tc>
          <w:tcPr>
            <w:tcW w:w="6224" w:type="dxa"/>
          </w:tcPr>
          <w:p w14:paraId="79DF7FFB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Lecture, discussion, quiz, teamwork, practical exercises</w:t>
            </w:r>
          </w:p>
        </w:tc>
      </w:tr>
      <w:tr w:rsidR="0066049C" w14:paraId="129ACD85" w14:textId="77777777">
        <w:tc>
          <w:tcPr>
            <w:tcW w:w="2988" w:type="dxa"/>
            <w:tcBorders>
              <w:bottom w:val="single" w:sz="4" w:space="0" w:color="000000"/>
            </w:tcBorders>
          </w:tcPr>
          <w:p w14:paraId="6F6F85B6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Bibliography</w:t>
            </w:r>
          </w:p>
        </w:tc>
        <w:tc>
          <w:tcPr>
            <w:tcW w:w="6224" w:type="dxa"/>
            <w:tcBorders>
              <w:bottom w:val="single" w:sz="4" w:space="0" w:color="000000"/>
            </w:tcBorders>
          </w:tcPr>
          <w:p w14:paraId="24699AD8" w14:textId="77777777" w:rsidR="0066049C" w:rsidRDefault="006F20C0">
            <w:pPr>
              <w:pStyle w:val="Nagwek2"/>
              <w:spacing w:after="28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Browaeys</w:t>
            </w:r>
            <w:proofErr w:type="spellEnd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&amp; Price, Understanding Cross Cultural Management, 4th Edition, Pearson</w:t>
            </w:r>
          </w:p>
          <w:p w14:paraId="02661089" w14:textId="77777777" w:rsidR="0066049C" w:rsidRDefault="006F20C0">
            <w:pPr>
              <w:pStyle w:val="Nagwek2"/>
              <w:spacing w:before="280" w:after="28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Jackson, The Routledge Book of Language &amp; Intercultural Communication</w:t>
            </w:r>
          </w:p>
          <w:p w14:paraId="209516DD" w14:textId="77777777" w:rsidR="0066049C" w:rsidRDefault="006F20C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Piller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Interncultural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Communication: A Critical Introduction, Edinburgh University Press</w:t>
            </w:r>
          </w:p>
        </w:tc>
      </w:tr>
      <w:tr w:rsidR="0066049C" w14:paraId="62BC38C2" w14:textId="77777777">
        <w:tc>
          <w:tcPr>
            <w:tcW w:w="2988" w:type="dxa"/>
            <w:shd w:val="clear" w:color="auto" w:fill="E6E6E6"/>
          </w:tcPr>
          <w:p w14:paraId="57CB1865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mit of places available</w:t>
            </w:r>
          </w:p>
        </w:tc>
        <w:tc>
          <w:tcPr>
            <w:tcW w:w="6224" w:type="dxa"/>
            <w:shd w:val="clear" w:color="auto" w:fill="E6E6E6"/>
          </w:tcPr>
          <w:p w14:paraId="2573B38F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004279F0" w14:textId="77777777">
        <w:tc>
          <w:tcPr>
            <w:tcW w:w="2988" w:type="dxa"/>
            <w:shd w:val="clear" w:color="auto" w:fill="E6E6E6"/>
          </w:tcPr>
          <w:p w14:paraId="69DA5313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Time </w:t>
            </w:r>
          </w:p>
        </w:tc>
        <w:tc>
          <w:tcPr>
            <w:tcW w:w="6224" w:type="dxa"/>
            <w:shd w:val="clear" w:color="auto" w:fill="E6E6E6"/>
          </w:tcPr>
          <w:p w14:paraId="77B1EF9E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049C" w14:paraId="39E50EB6" w14:textId="77777777">
        <w:tc>
          <w:tcPr>
            <w:tcW w:w="2988" w:type="dxa"/>
            <w:shd w:val="clear" w:color="auto" w:fill="E6E6E6"/>
          </w:tcPr>
          <w:p w14:paraId="114C9148" w14:textId="77777777" w:rsidR="0066049C" w:rsidRDefault="006F2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Place</w:t>
            </w:r>
          </w:p>
        </w:tc>
        <w:tc>
          <w:tcPr>
            <w:tcW w:w="6224" w:type="dxa"/>
            <w:shd w:val="clear" w:color="auto" w:fill="E6E6E6"/>
          </w:tcPr>
          <w:p w14:paraId="416E2743" w14:textId="77777777" w:rsidR="0066049C" w:rsidRDefault="0066049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3723236" w14:textId="77777777" w:rsidR="0066049C" w:rsidRDefault="0066049C"/>
    <w:sectPr w:rsidR="0066049C">
      <w:footerReference w:type="even" r:id="rId8"/>
      <w:footerReference w:type="default" r:id="rId9"/>
      <w:pgSz w:w="11906" w:h="16838"/>
      <w:pgMar w:top="454" w:right="1418" w:bottom="34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0D43" w14:textId="77777777" w:rsidR="00000000" w:rsidRDefault="006F20C0">
      <w:r>
        <w:separator/>
      </w:r>
    </w:p>
  </w:endnote>
  <w:endnote w:type="continuationSeparator" w:id="0">
    <w:p w14:paraId="195296EC" w14:textId="77777777" w:rsidR="00000000" w:rsidRDefault="006F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3898" w14:textId="77777777" w:rsidR="0066049C" w:rsidRDefault="006F2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A480619" w14:textId="77777777" w:rsidR="0066049C" w:rsidRDefault="006604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25A1" w14:textId="77777777" w:rsidR="0066049C" w:rsidRDefault="006F2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64542D" w14:textId="77777777" w:rsidR="0066049C" w:rsidRDefault="006604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1024" w14:textId="77777777" w:rsidR="00000000" w:rsidRDefault="006F20C0">
      <w:r>
        <w:separator/>
      </w:r>
    </w:p>
  </w:footnote>
  <w:footnote w:type="continuationSeparator" w:id="0">
    <w:p w14:paraId="11970753" w14:textId="77777777" w:rsidR="00000000" w:rsidRDefault="006F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4ACA"/>
    <w:multiLevelType w:val="multilevel"/>
    <w:tmpl w:val="BDEED0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103FBB"/>
    <w:multiLevelType w:val="multilevel"/>
    <w:tmpl w:val="5AE2E98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54505E"/>
    <w:multiLevelType w:val="multilevel"/>
    <w:tmpl w:val="C1DA6AD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9C"/>
    <w:rsid w:val="0066049C"/>
    <w:rsid w:val="006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542"/>
  <w15:docId w15:val="{722637D5-5689-458D-9A5F-B2004F6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outlineLvl w:val="1"/>
    </w:pPr>
    <w:rPr>
      <w:rFonts w:ascii="Arimo" w:eastAsia="Arimo" w:hAnsi="Arimo" w:cs="Arimo"/>
      <w:b/>
      <w:sz w:val="27"/>
      <w:szCs w:val="27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+9y4yCvektnCfIZUK83CMTVKNQ==">CgMxLjA4AHIhMWMtSUMzZXBqREdKeWhHcDZQaUFmMXVNeS1ERXZYd3E0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5525</Characters>
  <Application>Microsoft Office Word</Application>
  <DocSecurity>0</DocSecurity>
  <Lines>46</Lines>
  <Paragraphs>12</Paragraphs>
  <ScaleCrop>false</ScaleCrop>
  <Company>Uniwersytet Warszawski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2</cp:revision>
  <dcterms:created xsi:type="dcterms:W3CDTF">2024-02-09T13:10:00Z</dcterms:created>
  <dcterms:modified xsi:type="dcterms:W3CDTF">2024-02-09T13:10:00Z</dcterms:modified>
</cp:coreProperties>
</file>