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936F1" w14:textId="77777777" w:rsidR="00A50D21" w:rsidRDefault="002248D9">
      <w:pPr>
        <w:spacing w:after="0" w:line="276" w:lineRule="auto"/>
        <w:ind w:left="0" w:firstLine="0"/>
        <w:jc w:val="center"/>
      </w:pPr>
      <w:r>
        <w:t>Course description form (syllabus form) – for 1</w:t>
      </w:r>
      <w:r>
        <w:rPr>
          <w:vertAlign w:val="superscript"/>
        </w:rPr>
        <w:t>st</w:t>
      </w:r>
      <w:r>
        <w:t xml:space="preserve"> and 2</w:t>
      </w:r>
      <w:r>
        <w:rPr>
          <w:vertAlign w:val="superscript"/>
        </w:rPr>
        <w:t>nd</w:t>
      </w:r>
      <w:r>
        <w:t xml:space="preserve"> cycle studies</w:t>
      </w:r>
    </w:p>
    <w:p w14:paraId="3AAD6583" w14:textId="77777777" w:rsidR="00A50D21" w:rsidRDefault="00A50D21">
      <w:pPr>
        <w:spacing w:after="0" w:line="276" w:lineRule="auto"/>
        <w:ind w:left="0" w:firstLine="0"/>
      </w:pPr>
    </w:p>
    <w:p w14:paraId="291C21A4" w14:textId="77777777" w:rsidR="00A50D21" w:rsidRDefault="002248D9">
      <w:pPr>
        <w:spacing w:after="0" w:line="276" w:lineRule="auto"/>
        <w:ind w:left="-5"/>
      </w:pPr>
      <w:r>
        <w:rPr>
          <w:b/>
        </w:rPr>
        <w:t xml:space="preserve">A. General data </w:t>
      </w:r>
    </w:p>
    <w:tbl>
      <w:tblPr>
        <w:tblStyle w:val="a"/>
        <w:tblW w:w="9457" w:type="dxa"/>
        <w:tblInd w:w="-212" w:type="dxa"/>
        <w:tblLayout w:type="fixed"/>
        <w:tblLook w:val="0400" w:firstRow="0" w:lastRow="0" w:firstColumn="0" w:lastColumn="0" w:noHBand="0" w:noVBand="1"/>
      </w:tblPr>
      <w:tblGrid>
        <w:gridCol w:w="1502"/>
        <w:gridCol w:w="2001"/>
        <w:gridCol w:w="5954"/>
      </w:tblGrid>
      <w:tr w:rsidR="00A50D21" w14:paraId="122CEC8E" w14:textId="77777777">
        <w:trPr>
          <w:trHeight w:val="335"/>
        </w:trPr>
        <w:tc>
          <w:tcPr>
            <w:tcW w:w="3503" w:type="dxa"/>
            <w:gridSpan w:val="2"/>
            <w:tcBorders>
              <w:top w:val="single" w:sz="4" w:space="0" w:color="000000"/>
              <w:left w:val="single" w:sz="4" w:space="0" w:color="000000"/>
              <w:bottom w:val="single" w:sz="4" w:space="0" w:color="000000"/>
              <w:right w:val="single" w:sz="4" w:space="0" w:color="000000"/>
            </w:tcBorders>
          </w:tcPr>
          <w:p w14:paraId="37435C42" w14:textId="77777777" w:rsidR="00A50D21" w:rsidRDefault="002248D9">
            <w:pPr>
              <w:spacing w:after="0" w:line="276" w:lineRule="auto"/>
              <w:ind w:left="6" w:firstLine="0"/>
              <w:jc w:val="center"/>
            </w:pPr>
            <w:r>
              <w:rPr>
                <w:b/>
              </w:rPr>
              <w:t>Name of the field</w:t>
            </w:r>
          </w:p>
        </w:tc>
        <w:tc>
          <w:tcPr>
            <w:tcW w:w="5954" w:type="dxa"/>
            <w:tcBorders>
              <w:top w:val="single" w:sz="4" w:space="0" w:color="000000"/>
              <w:left w:val="single" w:sz="4" w:space="0" w:color="000000"/>
              <w:bottom w:val="single" w:sz="4" w:space="0" w:color="000000"/>
              <w:right w:val="single" w:sz="4" w:space="0" w:color="000000"/>
            </w:tcBorders>
          </w:tcPr>
          <w:p w14:paraId="2E3714FD" w14:textId="77777777" w:rsidR="00A50D21" w:rsidRDefault="002248D9">
            <w:pPr>
              <w:spacing w:after="0" w:line="276" w:lineRule="auto"/>
              <w:ind w:left="6" w:firstLine="0"/>
              <w:jc w:val="center"/>
            </w:pPr>
            <w:r>
              <w:rPr>
                <w:b/>
              </w:rPr>
              <w:t>Content</w:t>
            </w:r>
          </w:p>
        </w:tc>
      </w:tr>
      <w:tr w:rsidR="00A50D21" w14:paraId="1526A8C0" w14:textId="77777777">
        <w:trPr>
          <w:trHeight w:val="218"/>
        </w:trPr>
        <w:tc>
          <w:tcPr>
            <w:tcW w:w="3503" w:type="dxa"/>
            <w:gridSpan w:val="2"/>
            <w:tcBorders>
              <w:top w:val="single" w:sz="4" w:space="0" w:color="000000"/>
              <w:left w:val="single" w:sz="4" w:space="0" w:color="000000"/>
              <w:bottom w:val="single" w:sz="4" w:space="0" w:color="000000"/>
              <w:right w:val="single" w:sz="4" w:space="0" w:color="000000"/>
            </w:tcBorders>
          </w:tcPr>
          <w:p w14:paraId="607BB15E" w14:textId="77777777" w:rsidR="00A50D21" w:rsidRDefault="002248D9">
            <w:pPr>
              <w:spacing w:after="0" w:line="276" w:lineRule="auto"/>
              <w:ind w:left="0" w:firstLine="0"/>
            </w:pPr>
            <w:r>
              <w:t>Course title</w:t>
            </w:r>
          </w:p>
        </w:tc>
        <w:tc>
          <w:tcPr>
            <w:tcW w:w="5954" w:type="dxa"/>
            <w:tcBorders>
              <w:top w:val="single" w:sz="4" w:space="0" w:color="000000"/>
              <w:left w:val="single" w:sz="4" w:space="0" w:color="000000"/>
              <w:bottom w:val="single" w:sz="4" w:space="0" w:color="000000"/>
              <w:right w:val="single" w:sz="4" w:space="0" w:color="000000"/>
            </w:tcBorders>
          </w:tcPr>
          <w:p w14:paraId="04503C51" w14:textId="77777777" w:rsidR="00A50D21" w:rsidRDefault="002248D9">
            <w:pPr>
              <w:spacing w:after="0" w:line="276" w:lineRule="auto"/>
              <w:ind w:left="1" w:firstLine="0"/>
            </w:pPr>
            <w:r>
              <w:t>Regulating Platform Power</w:t>
            </w:r>
          </w:p>
        </w:tc>
      </w:tr>
      <w:tr w:rsidR="00A50D21" w14:paraId="08D851EE"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07247F82" w14:textId="77777777" w:rsidR="00A50D21" w:rsidRDefault="002248D9">
            <w:pPr>
              <w:spacing w:after="0" w:line="276" w:lineRule="auto"/>
              <w:ind w:left="0" w:firstLine="0"/>
            </w:pPr>
            <w:r>
              <w:t>Organizational unit:</w:t>
            </w:r>
          </w:p>
        </w:tc>
        <w:tc>
          <w:tcPr>
            <w:tcW w:w="5954" w:type="dxa"/>
            <w:tcBorders>
              <w:top w:val="single" w:sz="4" w:space="0" w:color="000000"/>
              <w:left w:val="single" w:sz="4" w:space="0" w:color="000000"/>
              <w:bottom w:val="single" w:sz="4" w:space="0" w:color="000000"/>
              <w:right w:val="single" w:sz="4" w:space="0" w:color="000000"/>
            </w:tcBorders>
          </w:tcPr>
          <w:p w14:paraId="1E3C42B8" w14:textId="77777777" w:rsidR="00A50D21" w:rsidRDefault="002248D9">
            <w:pPr>
              <w:spacing w:after="0" w:line="276" w:lineRule="auto"/>
              <w:ind w:left="1" w:firstLine="0"/>
            </w:pPr>
            <w:r>
              <w:t>WZ UW</w:t>
            </w:r>
          </w:p>
        </w:tc>
      </w:tr>
      <w:tr w:rsidR="00A50D21" w14:paraId="574A2CDA" w14:textId="77777777">
        <w:trPr>
          <w:trHeight w:val="217"/>
        </w:trPr>
        <w:tc>
          <w:tcPr>
            <w:tcW w:w="3503" w:type="dxa"/>
            <w:gridSpan w:val="2"/>
            <w:tcBorders>
              <w:top w:val="single" w:sz="4" w:space="0" w:color="000000"/>
              <w:left w:val="single" w:sz="4" w:space="0" w:color="000000"/>
              <w:bottom w:val="single" w:sz="4" w:space="0" w:color="000000"/>
              <w:right w:val="single" w:sz="4" w:space="0" w:color="000000"/>
            </w:tcBorders>
          </w:tcPr>
          <w:p w14:paraId="6DCBDD11" w14:textId="77777777" w:rsidR="00A50D21" w:rsidRDefault="002248D9">
            <w:pPr>
              <w:spacing w:after="0" w:line="276" w:lineRule="auto"/>
              <w:ind w:left="0" w:firstLine="0"/>
            </w:pPr>
            <w:r>
              <w:t>Organizational unit where the course is offered:</w:t>
            </w:r>
          </w:p>
        </w:tc>
        <w:tc>
          <w:tcPr>
            <w:tcW w:w="5954" w:type="dxa"/>
            <w:tcBorders>
              <w:top w:val="single" w:sz="4" w:space="0" w:color="000000"/>
              <w:left w:val="single" w:sz="4" w:space="0" w:color="000000"/>
              <w:bottom w:val="single" w:sz="4" w:space="0" w:color="000000"/>
              <w:right w:val="single" w:sz="4" w:space="0" w:color="000000"/>
            </w:tcBorders>
          </w:tcPr>
          <w:p w14:paraId="40ECCB90" w14:textId="77777777" w:rsidR="00A50D21" w:rsidRDefault="002248D9">
            <w:pPr>
              <w:spacing w:after="0" w:line="276" w:lineRule="auto"/>
              <w:ind w:left="1" w:firstLine="0"/>
            </w:pPr>
            <w:r>
              <w:t>WZ UW</w:t>
            </w:r>
          </w:p>
        </w:tc>
      </w:tr>
      <w:tr w:rsidR="00A50D21" w14:paraId="7BDA548C" w14:textId="77777777">
        <w:trPr>
          <w:trHeight w:val="214"/>
        </w:trPr>
        <w:tc>
          <w:tcPr>
            <w:tcW w:w="3503" w:type="dxa"/>
            <w:gridSpan w:val="2"/>
            <w:tcBorders>
              <w:top w:val="single" w:sz="4" w:space="0" w:color="000000"/>
              <w:left w:val="single" w:sz="4" w:space="0" w:color="000000"/>
              <w:bottom w:val="single" w:sz="4" w:space="0" w:color="000000"/>
              <w:right w:val="single" w:sz="4" w:space="0" w:color="000000"/>
            </w:tcBorders>
            <w:shd w:val="clear" w:color="auto" w:fill="CCCCCC"/>
          </w:tcPr>
          <w:p w14:paraId="53A7835B" w14:textId="77777777" w:rsidR="00A50D21" w:rsidRDefault="002248D9">
            <w:pPr>
              <w:spacing w:after="0" w:line="276" w:lineRule="auto"/>
              <w:ind w:left="0" w:firstLine="0"/>
            </w:pPr>
            <w:r>
              <w:t>Course ID</w:t>
            </w:r>
          </w:p>
        </w:tc>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5C6723EE" w14:textId="77777777" w:rsidR="00A50D21" w:rsidRDefault="00A50D21">
            <w:pPr>
              <w:spacing w:after="0" w:line="276" w:lineRule="auto"/>
              <w:ind w:left="1" w:firstLine="0"/>
            </w:pPr>
          </w:p>
        </w:tc>
      </w:tr>
      <w:tr w:rsidR="00A50D21" w14:paraId="13B40050" w14:textId="77777777">
        <w:trPr>
          <w:trHeight w:val="220"/>
        </w:trPr>
        <w:tc>
          <w:tcPr>
            <w:tcW w:w="3503" w:type="dxa"/>
            <w:gridSpan w:val="2"/>
            <w:tcBorders>
              <w:top w:val="single" w:sz="4" w:space="0" w:color="000000"/>
              <w:left w:val="single" w:sz="4" w:space="0" w:color="000000"/>
              <w:bottom w:val="single" w:sz="4" w:space="0" w:color="000000"/>
              <w:right w:val="single" w:sz="4" w:space="0" w:color="000000"/>
            </w:tcBorders>
          </w:tcPr>
          <w:p w14:paraId="01EA7F11" w14:textId="77777777" w:rsidR="00A50D21" w:rsidRDefault="002248D9">
            <w:pPr>
              <w:spacing w:after="0" w:line="276" w:lineRule="auto"/>
              <w:ind w:left="0" w:firstLine="0"/>
            </w:pPr>
            <w:r>
              <w:t>Erasmus code / ISCED</w:t>
            </w:r>
          </w:p>
        </w:tc>
        <w:tc>
          <w:tcPr>
            <w:tcW w:w="5954" w:type="dxa"/>
            <w:tcBorders>
              <w:top w:val="single" w:sz="4" w:space="0" w:color="000000"/>
              <w:left w:val="single" w:sz="4" w:space="0" w:color="000000"/>
              <w:bottom w:val="single" w:sz="4" w:space="0" w:color="000000"/>
              <w:right w:val="single" w:sz="4" w:space="0" w:color="000000"/>
            </w:tcBorders>
          </w:tcPr>
          <w:p w14:paraId="1C195A90" w14:textId="77777777" w:rsidR="00A50D21" w:rsidRDefault="00A50D21">
            <w:pPr>
              <w:spacing w:after="0" w:line="276" w:lineRule="auto"/>
              <w:ind w:left="1" w:firstLine="0"/>
            </w:pPr>
          </w:p>
        </w:tc>
      </w:tr>
      <w:tr w:rsidR="00A50D21" w14:paraId="0AB52AB3" w14:textId="77777777">
        <w:trPr>
          <w:trHeight w:val="215"/>
        </w:trPr>
        <w:tc>
          <w:tcPr>
            <w:tcW w:w="3503" w:type="dxa"/>
            <w:gridSpan w:val="2"/>
            <w:tcBorders>
              <w:top w:val="single" w:sz="4" w:space="0" w:color="000000"/>
              <w:left w:val="single" w:sz="4" w:space="0" w:color="000000"/>
              <w:bottom w:val="single" w:sz="4" w:space="0" w:color="000000"/>
              <w:right w:val="single" w:sz="4" w:space="0" w:color="000000"/>
            </w:tcBorders>
            <w:shd w:val="clear" w:color="auto" w:fill="CCCCCC"/>
          </w:tcPr>
          <w:p w14:paraId="7B7CB7CE" w14:textId="77777777" w:rsidR="00A50D21" w:rsidRDefault="002248D9">
            <w:pPr>
              <w:spacing w:after="0" w:line="276" w:lineRule="auto"/>
              <w:ind w:left="0" w:firstLine="0"/>
            </w:pPr>
            <w:r>
              <w:t>Course groups</w:t>
            </w:r>
          </w:p>
        </w:tc>
        <w:tc>
          <w:tcPr>
            <w:tcW w:w="5954" w:type="dxa"/>
            <w:tcBorders>
              <w:top w:val="single" w:sz="4" w:space="0" w:color="000000"/>
              <w:left w:val="single" w:sz="4" w:space="0" w:color="000000"/>
              <w:bottom w:val="single" w:sz="4" w:space="0" w:color="000000"/>
              <w:right w:val="single" w:sz="4" w:space="0" w:color="000000"/>
            </w:tcBorders>
            <w:shd w:val="clear" w:color="auto" w:fill="CCCCCC"/>
          </w:tcPr>
          <w:p w14:paraId="7AA44342" w14:textId="77777777" w:rsidR="00A50D21" w:rsidRDefault="00A50D21">
            <w:pPr>
              <w:spacing w:after="0" w:line="276" w:lineRule="auto"/>
              <w:ind w:left="1" w:firstLine="0"/>
            </w:pPr>
          </w:p>
        </w:tc>
      </w:tr>
      <w:tr w:rsidR="00A50D21" w14:paraId="298ED0C8" w14:textId="77777777">
        <w:trPr>
          <w:trHeight w:val="217"/>
        </w:trPr>
        <w:tc>
          <w:tcPr>
            <w:tcW w:w="3503" w:type="dxa"/>
            <w:gridSpan w:val="2"/>
            <w:tcBorders>
              <w:top w:val="single" w:sz="4" w:space="0" w:color="000000"/>
              <w:left w:val="single" w:sz="4" w:space="0" w:color="000000"/>
              <w:bottom w:val="single" w:sz="4" w:space="0" w:color="000000"/>
              <w:right w:val="single" w:sz="4" w:space="0" w:color="000000"/>
            </w:tcBorders>
          </w:tcPr>
          <w:p w14:paraId="6333C1E8" w14:textId="77777777" w:rsidR="00A50D21" w:rsidRDefault="002248D9">
            <w:pPr>
              <w:spacing w:after="0" w:line="276" w:lineRule="auto"/>
              <w:ind w:left="0" w:firstLine="0"/>
            </w:pPr>
            <w:r>
              <w:t>Period when the course is offered</w:t>
            </w:r>
          </w:p>
        </w:tc>
        <w:tc>
          <w:tcPr>
            <w:tcW w:w="5954" w:type="dxa"/>
            <w:tcBorders>
              <w:top w:val="single" w:sz="4" w:space="0" w:color="000000"/>
              <w:left w:val="single" w:sz="4" w:space="0" w:color="000000"/>
              <w:bottom w:val="single" w:sz="4" w:space="0" w:color="000000"/>
              <w:right w:val="single" w:sz="4" w:space="0" w:color="000000"/>
            </w:tcBorders>
          </w:tcPr>
          <w:p w14:paraId="53A2D9EA" w14:textId="77777777" w:rsidR="00A50D21" w:rsidRDefault="002248D9">
            <w:pPr>
              <w:spacing w:after="0" w:line="276" w:lineRule="auto"/>
              <w:ind w:left="1" w:firstLine="0"/>
            </w:pPr>
            <w:r>
              <w:t>WS 2024/2025</w:t>
            </w:r>
          </w:p>
        </w:tc>
      </w:tr>
      <w:tr w:rsidR="00A50D21" w14:paraId="611250A9"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66EC5C46" w14:textId="77777777" w:rsidR="00A50D21" w:rsidRDefault="002248D9">
            <w:pPr>
              <w:spacing w:after="0" w:line="276" w:lineRule="auto"/>
              <w:ind w:left="0" w:firstLine="0"/>
            </w:pPr>
            <w:r>
              <w:t>Short description</w:t>
            </w:r>
          </w:p>
        </w:tc>
        <w:tc>
          <w:tcPr>
            <w:tcW w:w="5954" w:type="dxa"/>
            <w:tcBorders>
              <w:top w:val="single" w:sz="4" w:space="0" w:color="000000"/>
              <w:left w:val="single" w:sz="4" w:space="0" w:color="000000"/>
              <w:bottom w:val="single" w:sz="4" w:space="0" w:color="000000"/>
              <w:right w:val="single" w:sz="4" w:space="0" w:color="000000"/>
            </w:tcBorders>
          </w:tcPr>
          <w:p w14:paraId="149CDE8C" w14:textId="77777777" w:rsidR="00A50D21" w:rsidRDefault="002248D9">
            <w:pPr>
              <w:ind w:firstLine="0"/>
            </w:pPr>
            <w:r>
              <w:t>This course examines the challenges and opportunities of regulating online platforms, which are increasingly influential actors in the digital economy and society. The course will explore the concept of platform power, its sources, manifestations, and impl</w:t>
            </w:r>
            <w:r>
              <w:t>ications for competition, innovation and privacy.</w:t>
            </w:r>
          </w:p>
        </w:tc>
      </w:tr>
      <w:tr w:rsidR="00A50D21" w14:paraId="76B2B757"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16AD5F41" w14:textId="77777777" w:rsidR="00A50D21" w:rsidRDefault="002248D9">
            <w:pPr>
              <w:spacing w:after="0" w:line="276" w:lineRule="auto"/>
              <w:ind w:left="0" w:firstLine="0"/>
            </w:pPr>
            <w:r>
              <w:t>Type of course:</w:t>
            </w:r>
          </w:p>
        </w:tc>
        <w:tc>
          <w:tcPr>
            <w:tcW w:w="5954" w:type="dxa"/>
            <w:tcBorders>
              <w:top w:val="single" w:sz="4" w:space="0" w:color="000000"/>
              <w:left w:val="single" w:sz="4" w:space="0" w:color="000000"/>
              <w:bottom w:val="single" w:sz="4" w:space="0" w:color="000000"/>
              <w:right w:val="single" w:sz="4" w:space="0" w:color="000000"/>
            </w:tcBorders>
          </w:tcPr>
          <w:p w14:paraId="142BFDC2" w14:textId="77777777" w:rsidR="00A50D21" w:rsidRDefault="002248D9">
            <w:pPr>
              <w:spacing w:after="0" w:line="276" w:lineRule="auto"/>
              <w:ind w:left="1" w:firstLine="0"/>
            </w:pPr>
            <w:r>
              <w:t>Konwersatorium</w:t>
            </w:r>
          </w:p>
        </w:tc>
      </w:tr>
      <w:tr w:rsidR="00A50D21" w14:paraId="0A76C291" w14:textId="77777777">
        <w:trPr>
          <w:trHeight w:val="218"/>
        </w:trPr>
        <w:tc>
          <w:tcPr>
            <w:tcW w:w="3503" w:type="dxa"/>
            <w:gridSpan w:val="2"/>
            <w:tcBorders>
              <w:top w:val="single" w:sz="4" w:space="0" w:color="000000"/>
              <w:left w:val="single" w:sz="4" w:space="0" w:color="000000"/>
              <w:bottom w:val="single" w:sz="4" w:space="0" w:color="000000"/>
              <w:right w:val="single" w:sz="4" w:space="0" w:color="000000"/>
            </w:tcBorders>
          </w:tcPr>
          <w:p w14:paraId="413089D4" w14:textId="77777777" w:rsidR="00A50D21" w:rsidRDefault="002248D9">
            <w:pPr>
              <w:spacing w:after="0" w:line="276" w:lineRule="auto"/>
              <w:ind w:left="0" w:firstLine="0"/>
            </w:pPr>
            <w:r>
              <w:t>Full description</w:t>
            </w:r>
          </w:p>
        </w:tc>
        <w:tc>
          <w:tcPr>
            <w:tcW w:w="5954" w:type="dxa"/>
            <w:tcBorders>
              <w:top w:val="single" w:sz="4" w:space="0" w:color="000000"/>
              <w:left w:val="single" w:sz="4" w:space="0" w:color="000000"/>
              <w:bottom w:val="single" w:sz="4" w:space="0" w:color="000000"/>
              <w:right w:val="single" w:sz="4" w:space="0" w:color="000000"/>
            </w:tcBorders>
          </w:tcPr>
          <w:p w14:paraId="7E24625A" w14:textId="77777777" w:rsidR="00A50D21" w:rsidRDefault="002248D9">
            <w:pPr>
              <w:ind w:firstLine="0"/>
            </w:pPr>
            <w:r>
              <w:t>This course examines the challenges and opportunities of regulating online platforms, which are increasingly influential actors in the digital economy and society. The course will explore the concept of platform power, its sources, manifestations, and impl</w:t>
            </w:r>
            <w:r>
              <w:t>ications for competition, innovation and privacy. The course will also analyze the existing and proposed legal and regulatory frameworks for addressing platform power, such as competition law, economic regulation, data protection, and human rights law. The</w:t>
            </w:r>
            <w:r>
              <w:t xml:space="preserve"> course will adopt a comparative and interdisciplinary perspective, drawing on examples and cases from different jurisdictions and sectors.</w:t>
            </w:r>
          </w:p>
          <w:p w14:paraId="54DE1CD1" w14:textId="77777777" w:rsidR="00A50D21" w:rsidRDefault="00A50D21">
            <w:pPr>
              <w:ind w:firstLine="0"/>
            </w:pPr>
          </w:p>
          <w:p w14:paraId="68045D28" w14:textId="77777777" w:rsidR="00A50D21" w:rsidRDefault="00A50D21">
            <w:pPr>
              <w:pBdr>
                <w:top w:val="nil"/>
                <w:left w:val="nil"/>
                <w:bottom w:val="nil"/>
                <w:right w:val="nil"/>
                <w:between w:val="nil"/>
              </w:pBdr>
              <w:spacing w:after="0" w:line="276" w:lineRule="auto"/>
              <w:ind w:firstLine="0"/>
            </w:pPr>
          </w:p>
        </w:tc>
      </w:tr>
      <w:tr w:rsidR="00A50D21" w14:paraId="21CFF6B9" w14:textId="77777777">
        <w:trPr>
          <w:trHeight w:val="216"/>
        </w:trPr>
        <w:tc>
          <w:tcPr>
            <w:tcW w:w="1502" w:type="dxa"/>
            <w:vMerge w:val="restart"/>
            <w:tcBorders>
              <w:top w:val="single" w:sz="4" w:space="0" w:color="000000"/>
              <w:left w:val="single" w:sz="4" w:space="0" w:color="000000"/>
              <w:bottom w:val="single" w:sz="4" w:space="0" w:color="000000"/>
              <w:right w:val="single" w:sz="4" w:space="0" w:color="000000"/>
            </w:tcBorders>
          </w:tcPr>
          <w:p w14:paraId="0912F1E5" w14:textId="77777777" w:rsidR="00A50D21" w:rsidRDefault="002248D9">
            <w:pPr>
              <w:spacing w:after="0" w:line="276" w:lineRule="auto"/>
              <w:ind w:left="0" w:firstLine="0"/>
            </w:pPr>
            <w:r>
              <w:t>Prerequisites</w:t>
            </w:r>
          </w:p>
        </w:tc>
        <w:tc>
          <w:tcPr>
            <w:tcW w:w="2001" w:type="dxa"/>
            <w:tcBorders>
              <w:top w:val="single" w:sz="4" w:space="0" w:color="000000"/>
              <w:left w:val="single" w:sz="4" w:space="0" w:color="000000"/>
              <w:bottom w:val="single" w:sz="4" w:space="0" w:color="000000"/>
              <w:right w:val="single" w:sz="4" w:space="0" w:color="000000"/>
            </w:tcBorders>
          </w:tcPr>
          <w:p w14:paraId="36D6A107" w14:textId="77777777" w:rsidR="00A50D21" w:rsidRDefault="002248D9">
            <w:pPr>
              <w:spacing w:after="0" w:line="276" w:lineRule="auto"/>
              <w:ind w:left="2" w:firstLine="0"/>
            </w:pPr>
            <w:r>
              <w:t>Formal</w:t>
            </w:r>
          </w:p>
        </w:tc>
        <w:tc>
          <w:tcPr>
            <w:tcW w:w="5954" w:type="dxa"/>
            <w:tcBorders>
              <w:top w:val="single" w:sz="4" w:space="0" w:color="000000"/>
              <w:left w:val="single" w:sz="4" w:space="0" w:color="000000"/>
              <w:bottom w:val="single" w:sz="4" w:space="0" w:color="000000"/>
              <w:right w:val="single" w:sz="4" w:space="0" w:color="000000"/>
            </w:tcBorders>
          </w:tcPr>
          <w:p w14:paraId="62EC6448" w14:textId="77777777" w:rsidR="00A50D21" w:rsidRDefault="00A50D21">
            <w:pPr>
              <w:spacing w:after="0" w:line="276" w:lineRule="auto"/>
              <w:ind w:left="1" w:firstLine="0"/>
            </w:pPr>
          </w:p>
        </w:tc>
      </w:tr>
      <w:tr w:rsidR="00A50D21" w14:paraId="5E97119B" w14:textId="77777777">
        <w:trPr>
          <w:trHeight w:val="216"/>
        </w:trPr>
        <w:tc>
          <w:tcPr>
            <w:tcW w:w="1502" w:type="dxa"/>
            <w:vMerge/>
            <w:tcBorders>
              <w:top w:val="single" w:sz="4" w:space="0" w:color="000000"/>
              <w:left w:val="single" w:sz="4" w:space="0" w:color="000000"/>
              <w:bottom w:val="single" w:sz="4" w:space="0" w:color="000000"/>
              <w:right w:val="single" w:sz="4" w:space="0" w:color="000000"/>
            </w:tcBorders>
          </w:tcPr>
          <w:p w14:paraId="4238E582" w14:textId="77777777" w:rsidR="00A50D21" w:rsidRDefault="00A50D21">
            <w:pPr>
              <w:widowControl w:val="0"/>
              <w:pBdr>
                <w:top w:val="nil"/>
                <w:left w:val="nil"/>
                <w:bottom w:val="nil"/>
                <w:right w:val="nil"/>
                <w:between w:val="nil"/>
              </w:pBdr>
              <w:spacing w:after="0" w:line="276" w:lineRule="auto"/>
              <w:ind w:left="0" w:firstLine="0"/>
            </w:pPr>
          </w:p>
        </w:tc>
        <w:tc>
          <w:tcPr>
            <w:tcW w:w="2001" w:type="dxa"/>
            <w:tcBorders>
              <w:top w:val="single" w:sz="4" w:space="0" w:color="000000"/>
              <w:left w:val="single" w:sz="4" w:space="0" w:color="000000"/>
              <w:bottom w:val="single" w:sz="4" w:space="0" w:color="000000"/>
              <w:right w:val="single" w:sz="4" w:space="0" w:color="000000"/>
            </w:tcBorders>
          </w:tcPr>
          <w:p w14:paraId="1BC97EF3" w14:textId="77777777" w:rsidR="00A50D21" w:rsidRDefault="002248D9">
            <w:pPr>
              <w:spacing w:after="0" w:line="276" w:lineRule="auto"/>
              <w:ind w:left="2" w:firstLine="0"/>
            </w:pPr>
            <w:r>
              <w:t>Initial</w:t>
            </w:r>
          </w:p>
        </w:tc>
        <w:tc>
          <w:tcPr>
            <w:tcW w:w="5954" w:type="dxa"/>
            <w:tcBorders>
              <w:top w:val="single" w:sz="4" w:space="0" w:color="000000"/>
              <w:left w:val="single" w:sz="4" w:space="0" w:color="000000"/>
              <w:bottom w:val="single" w:sz="4" w:space="0" w:color="000000"/>
              <w:right w:val="single" w:sz="4" w:space="0" w:color="000000"/>
            </w:tcBorders>
          </w:tcPr>
          <w:p w14:paraId="1C17F823" w14:textId="77777777" w:rsidR="00A50D21" w:rsidRDefault="002248D9">
            <w:pPr>
              <w:spacing w:after="0" w:line="276" w:lineRule="auto"/>
              <w:ind w:left="1" w:firstLine="0"/>
            </w:pPr>
            <w:r>
              <w:t>English B2</w:t>
            </w:r>
          </w:p>
        </w:tc>
      </w:tr>
      <w:tr w:rsidR="00A50D21" w14:paraId="4197633A"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648B5EAB" w14:textId="77777777" w:rsidR="00A50D21" w:rsidRDefault="002248D9">
            <w:pPr>
              <w:spacing w:after="0" w:line="276" w:lineRule="auto"/>
              <w:ind w:left="0" w:firstLine="0"/>
            </w:pPr>
            <w:r>
              <w:t>Learning outcomes</w:t>
            </w:r>
          </w:p>
        </w:tc>
        <w:tc>
          <w:tcPr>
            <w:tcW w:w="5954" w:type="dxa"/>
            <w:tcBorders>
              <w:top w:val="single" w:sz="4" w:space="0" w:color="000000"/>
              <w:left w:val="single" w:sz="4" w:space="0" w:color="000000"/>
              <w:bottom w:val="single" w:sz="4" w:space="0" w:color="000000"/>
              <w:right w:val="single" w:sz="4" w:space="0" w:color="000000"/>
            </w:tcBorders>
          </w:tcPr>
          <w:p w14:paraId="51BBAD85" w14:textId="77777777" w:rsidR="00A50D21" w:rsidRDefault="002248D9">
            <w:pPr>
              <w:ind w:firstLine="0"/>
            </w:pPr>
            <w:r>
              <w:rPr>
                <w:b/>
              </w:rPr>
              <w:t>Course objectives:</w:t>
            </w:r>
            <w:r>
              <w:t xml:space="preserve"> By the end of this course, students will be able to:</w:t>
            </w:r>
          </w:p>
          <w:p w14:paraId="27FCBAA2"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Define and critically assess the concept of platform power and its dimensions</w:t>
            </w:r>
          </w:p>
          <w:p w14:paraId="2590A13C"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Identify and evaluate the sources and drivers of platform power in the digital economy and society</w:t>
            </w:r>
          </w:p>
          <w:p w14:paraId="3886401B"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Analyze and compare the i</w:t>
            </w:r>
            <w:r>
              <w:t>mpacts and challenges of platform power for various stakeholders and interests</w:t>
            </w:r>
          </w:p>
          <w:p w14:paraId="11562653"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Understand and apply the main legal and regulatory approaches and instruments for regulating platform power</w:t>
            </w:r>
          </w:p>
          <w:p w14:paraId="310901D0"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lastRenderedPageBreak/>
              <w:t>Develop and propose solutions and recommendations for addressing plat</w:t>
            </w:r>
            <w:r>
              <w:t>form power in a balanced and effective manner</w:t>
            </w:r>
          </w:p>
        </w:tc>
      </w:tr>
      <w:tr w:rsidR="00A50D21" w14:paraId="762F11D7"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67C679AA" w14:textId="77777777" w:rsidR="00A50D21" w:rsidRDefault="002248D9">
            <w:pPr>
              <w:spacing w:after="0" w:line="276" w:lineRule="auto"/>
              <w:ind w:left="0" w:firstLine="0"/>
            </w:pPr>
            <w:r>
              <w:lastRenderedPageBreak/>
              <w:t>ECTS credit allocation (and other scores)</w:t>
            </w:r>
          </w:p>
        </w:tc>
        <w:tc>
          <w:tcPr>
            <w:tcW w:w="5954" w:type="dxa"/>
            <w:tcBorders>
              <w:top w:val="single" w:sz="4" w:space="0" w:color="000000"/>
              <w:left w:val="single" w:sz="4" w:space="0" w:color="000000"/>
              <w:bottom w:val="single" w:sz="4" w:space="0" w:color="000000"/>
              <w:right w:val="single" w:sz="4" w:space="0" w:color="000000"/>
            </w:tcBorders>
          </w:tcPr>
          <w:p w14:paraId="4436678B" w14:textId="77777777" w:rsidR="00A50D21" w:rsidRDefault="00A50D21">
            <w:pPr>
              <w:spacing w:after="0" w:line="276" w:lineRule="auto"/>
              <w:ind w:left="1" w:firstLine="0"/>
            </w:pPr>
          </w:p>
        </w:tc>
      </w:tr>
      <w:tr w:rsidR="00A50D21" w14:paraId="10FC55BF" w14:textId="77777777">
        <w:trPr>
          <w:trHeight w:val="218"/>
        </w:trPr>
        <w:tc>
          <w:tcPr>
            <w:tcW w:w="3503" w:type="dxa"/>
            <w:gridSpan w:val="2"/>
            <w:tcBorders>
              <w:top w:val="single" w:sz="4" w:space="0" w:color="000000"/>
              <w:left w:val="single" w:sz="4" w:space="0" w:color="000000"/>
              <w:bottom w:val="single" w:sz="4" w:space="0" w:color="000000"/>
              <w:right w:val="single" w:sz="4" w:space="0" w:color="000000"/>
            </w:tcBorders>
          </w:tcPr>
          <w:p w14:paraId="06CC56DA" w14:textId="77777777" w:rsidR="00A50D21" w:rsidRDefault="002248D9">
            <w:pPr>
              <w:spacing w:after="0" w:line="276" w:lineRule="auto"/>
              <w:ind w:left="0" w:firstLine="0"/>
            </w:pPr>
            <w:r>
              <w:t>Assessment methods and assessment criteria</w:t>
            </w:r>
          </w:p>
        </w:tc>
        <w:tc>
          <w:tcPr>
            <w:tcW w:w="5954" w:type="dxa"/>
            <w:tcBorders>
              <w:top w:val="single" w:sz="4" w:space="0" w:color="000000"/>
              <w:left w:val="single" w:sz="4" w:space="0" w:color="000000"/>
              <w:bottom w:val="single" w:sz="4" w:space="0" w:color="000000"/>
              <w:right w:val="single" w:sz="4" w:space="0" w:color="000000"/>
            </w:tcBorders>
          </w:tcPr>
          <w:p w14:paraId="682C927B" w14:textId="77777777" w:rsidR="00A50D21" w:rsidRDefault="002248D9">
            <w:r>
              <w:rPr>
                <w:color w:val="007F00"/>
              </w:rPr>
              <w:t>Course credit will consist of:</w:t>
            </w:r>
            <w:r>
              <w:rPr>
                <w:color w:val="007F00"/>
              </w:rPr>
              <w:br/>
            </w:r>
            <w:r>
              <w:rPr>
                <w:color w:val="007F00"/>
              </w:rPr>
              <w:t>- attendance in class and active participation (60%)</w:t>
            </w:r>
            <w:r>
              <w:rPr>
                <w:color w:val="007F00"/>
              </w:rPr>
              <w:br/>
              <w:t>- writing an essay on a topic assigned in class (40%)</w:t>
            </w:r>
          </w:p>
        </w:tc>
      </w:tr>
      <w:tr w:rsidR="00A50D21" w14:paraId="25D700F0"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3B724ACB" w14:textId="77777777" w:rsidR="00A50D21" w:rsidRDefault="002248D9">
            <w:pPr>
              <w:spacing w:after="0" w:line="276" w:lineRule="auto"/>
              <w:ind w:left="0" w:firstLine="0"/>
            </w:pPr>
            <w:r>
              <w:t>Examination</w:t>
            </w:r>
          </w:p>
        </w:tc>
        <w:tc>
          <w:tcPr>
            <w:tcW w:w="5954" w:type="dxa"/>
            <w:tcBorders>
              <w:top w:val="single" w:sz="4" w:space="0" w:color="000000"/>
              <w:left w:val="single" w:sz="4" w:space="0" w:color="000000"/>
              <w:bottom w:val="single" w:sz="4" w:space="0" w:color="000000"/>
              <w:right w:val="single" w:sz="4" w:space="0" w:color="000000"/>
            </w:tcBorders>
          </w:tcPr>
          <w:p w14:paraId="2AAC0F63" w14:textId="77777777" w:rsidR="00A50D21" w:rsidRDefault="002248D9">
            <w:r>
              <w:rPr>
                <w:color w:val="007F00"/>
              </w:rPr>
              <w:t>Course credit will consist of:</w:t>
            </w:r>
            <w:r>
              <w:rPr>
                <w:color w:val="007F00"/>
              </w:rPr>
              <w:br/>
              <w:t>- attendance in class and active participation (60%)</w:t>
            </w:r>
            <w:r>
              <w:rPr>
                <w:color w:val="007F00"/>
              </w:rPr>
              <w:br/>
            </w:r>
            <w:r>
              <w:rPr>
                <w:color w:val="007F00"/>
              </w:rPr>
              <w:t>- writing an essay on a topic assigned in class (40%)</w:t>
            </w:r>
          </w:p>
        </w:tc>
      </w:tr>
      <w:tr w:rsidR="00A50D21" w14:paraId="2B9E3DFA"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444BC4F7" w14:textId="77777777" w:rsidR="00A50D21" w:rsidRDefault="002248D9">
            <w:pPr>
              <w:spacing w:after="0" w:line="276" w:lineRule="auto"/>
              <w:ind w:left="0" w:firstLine="0"/>
            </w:pPr>
            <w:r>
              <w:t>Type of class</w:t>
            </w:r>
          </w:p>
        </w:tc>
        <w:tc>
          <w:tcPr>
            <w:tcW w:w="5954" w:type="dxa"/>
            <w:tcBorders>
              <w:top w:val="single" w:sz="4" w:space="0" w:color="000000"/>
              <w:left w:val="single" w:sz="4" w:space="0" w:color="000000"/>
              <w:bottom w:val="single" w:sz="4" w:space="0" w:color="000000"/>
              <w:right w:val="single" w:sz="4" w:space="0" w:color="000000"/>
            </w:tcBorders>
          </w:tcPr>
          <w:p w14:paraId="29D0000A" w14:textId="77777777" w:rsidR="00A50D21" w:rsidRDefault="002248D9">
            <w:pPr>
              <w:spacing w:after="0" w:line="276" w:lineRule="auto"/>
              <w:ind w:left="361" w:firstLine="0"/>
            </w:pPr>
            <w:r>
              <w:t>Konwersatorium</w:t>
            </w:r>
          </w:p>
        </w:tc>
      </w:tr>
      <w:tr w:rsidR="00A50D21" w14:paraId="167F88B3"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70BC5817" w14:textId="77777777" w:rsidR="00A50D21" w:rsidRDefault="002248D9">
            <w:pPr>
              <w:spacing w:after="0" w:line="276" w:lineRule="auto"/>
              <w:ind w:left="0" w:firstLine="0"/>
            </w:pPr>
            <w:r>
              <w:t>Sposób realizacji przedmiotu</w:t>
            </w:r>
          </w:p>
        </w:tc>
        <w:tc>
          <w:tcPr>
            <w:tcW w:w="5954" w:type="dxa"/>
            <w:tcBorders>
              <w:top w:val="single" w:sz="4" w:space="0" w:color="000000"/>
              <w:left w:val="single" w:sz="4" w:space="0" w:color="000000"/>
              <w:bottom w:val="single" w:sz="4" w:space="0" w:color="000000"/>
              <w:right w:val="single" w:sz="4" w:space="0" w:color="000000"/>
            </w:tcBorders>
          </w:tcPr>
          <w:p w14:paraId="048C5402" w14:textId="77777777" w:rsidR="00A50D21" w:rsidRDefault="00A50D21">
            <w:pPr>
              <w:spacing w:after="0" w:line="276" w:lineRule="auto"/>
              <w:ind w:left="1" w:firstLine="0"/>
            </w:pPr>
          </w:p>
        </w:tc>
      </w:tr>
      <w:tr w:rsidR="00A50D21" w14:paraId="12B23CC9" w14:textId="77777777">
        <w:trPr>
          <w:trHeight w:val="218"/>
        </w:trPr>
        <w:tc>
          <w:tcPr>
            <w:tcW w:w="3503" w:type="dxa"/>
            <w:gridSpan w:val="2"/>
            <w:tcBorders>
              <w:top w:val="single" w:sz="4" w:space="0" w:color="000000"/>
              <w:left w:val="single" w:sz="4" w:space="0" w:color="000000"/>
              <w:bottom w:val="single" w:sz="4" w:space="0" w:color="000000"/>
              <w:right w:val="single" w:sz="4" w:space="0" w:color="000000"/>
            </w:tcBorders>
          </w:tcPr>
          <w:p w14:paraId="35AC08CE" w14:textId="77777777" w:rsidR="00A50D21" w:rsidRDefault="002248D9">
            <w:pPr>
              <w:spacing w:after="0" w:line="276" w:lineRule="auto"/>
              <w:ind w:left="0" w:firstLine="0"/>
            </w:pPr>
            <w:r>
              <w:t>Language</w:t>
            </w:r>
          </w:p>
        </w:tc>
        <w:tc>
          <w:tcPr>
            <w:tcW w:w="5954" w:type="dxa"/>
            <w:tcBorders>
              <w:top w:val="single" w:sz="4" w:space="0" w:color="000000"/>
              <w:left w:val="single" w:sz="4" w:space="0" w:color="000000"/>
              <w:bottom w:val="single" w:sz="4" w:space="0" w:color="000000"/>
              <w:right w:val="single" w:sz="4" w:space="0" w:color="000000"/>
            </w:tcBorders>
          </w:tcPr>
          <w:p w14:paraId="23DA8F25" w14:textId="77777777" w:rsidR="00A50D21" w:rsidRDefault="002248D9">
            <w:pPr>
              <w:spacing w:after="0" w:line="276" w:lineRule="auto"/>
              <w:ind w:left="1" w:firstLine="0"/>
            </w:pPr>
            <w:r>
              <w:t>EN</w:t>
            </w:r>
          </w:p>
        </w:tc>
      </w:tr>
      <w:tr w:rsidR="00A50D21" w14:paraId="3AB71A52"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5AD2A34A" w14:textId="77777777" w:rsidR="00A50D21" w:rsidRDefault="002248D9">
            <w:pPr>
              <w:spacing w:after="0" w:line="276" w:lineRule="auto"/>
              <w:ind w:left="0" w:firstLine="0"/>
            </w:pPr>
            <w:r>
              <w:t>Bibliography</w:t>
            </w:r>
          </w:p>
        </w:tc>
        <w:tc>
          <w:tcPr>
            <w:tcW w:w="5954" w:type="dxa"/>
            <w:tcBorders>
              <w:top w:val="single" w:sz="4" w:space="0" w:color="000000"/>
              <w:left w:val="single" w:sz="4" w:space="0" w:color="000000"/>
              <w:bottom w:val="single" w:sz="4" w:space="0" w:color="000000"/>
              <w:right w:val="single" w:sz="4" w:space="0" w:color="000000"/>
            </w:tcBorders>
          </w:tcPr>
          <w:p w14:paraId="5DCF3788"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Bostoen F and Petit N, ‘Platforms’ Treacherous Turn’ (1 December 2023)</w:t>
            </w:r>
          </w:p>
          <w:p w14:paraId="71923A97"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 xml:space="preserve">Colomo PI, </w:t>
            </w:r>
            <w:r>
              <w:rPr>
                <w:rFonts w:ascii="Calibri" w:eastAsia="Calibri" w:hAnsi="Calibri" w:cs="Calibri"/>
                <w:i/>
              </w:rPr>
              <w:t>The New EU Competition Law</w:t>
            </w:r>
            <w:r>
              <w:rPr>
                <w:rFonts w:ascii="Calibri" w:eastAsia="Calibri" w:hAnsi="Calibri" w:cs="Calibri"/>
              </w:rPr>
              <w:t xml:space="preserve"> (Hart Publishing 2023) [Chapters 5 &amp; 8]</w:t>
            </w:r>
          </w:p>
          <w:p w14:paraId="11DE9910"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 xml:space="preserve">Deutscher E, ‘Google Shopping and the Quest for a Legal Test for Self-Preferencing Under Article 102 TFEU’ </w:t>
            </w:r>
            <w:r>
              <w:rPr>
                <w:rFonts w:ascii="Calibri" w:eastAsia="Calibri" w:hAnsi="Calibri" w:cs="Calibri"/>
              </w:rPr>
              <w:t>(2022) 2021 6 European Papers - A Journal on Law and Integration 1345</w:t>
            </w:r>
          </w:p>
          <w:p w14:paraId="23A2A500"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Filistrucchi L and others, ‘Maket Definition in Two-sided Markets: Theory and Practice’ (2014) 10 Journal of Competition Law &amp; Economics 293</w:t>
            </w:r>
          </w:p>
          <w:p w14:paraId="31A0AE98"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Hoffmann J, Herrmann L and Kestler L, ‘Gateke</w:t>
            </w:r>
            <w:r>
              <w:rPr>
                <w:rFonts w:ascii="Calibri" w:eastAsia="Calibri" w:hAnsi="Calibri" w:cs="Calibri"/>
              </w:rPr>
              <w:t>eper’s Potential Privilege—the Need to Limit DMA Centralization’ [2023] Journal of Antitrust Enforcement jnad040</w:t>
            </w:r>
          </w:p>
          <w:p w14:paraId="7C56BC88"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Martínez AR, ‘The DMA’s Ithaca: Contestable and Fair Markets’ (2023) 46 World Competition Law and Economics Review</w:t>
            </w:r>
          </w:p>
          <w:p w14:paraId="268B99E7"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Waerdt PJ van de, ‘Meta v Bu</w:t>
            </w:r>
            <w:r>
              <w:rPr>
                <w:rFonts w:ascii="Calibri" w:eastAsia="Calibri" w:hAnsi="Calibri" w:cs="Calibri"/>
              </w:rPr>
              <w:t>ndeskartellamt: Something Old, Something New’ (2024) 2023 8 European Papers - A Journal on Law and Integration 1077</w:t>
            </w:r>
          </w:p>
          <w:p w14:paraId="549C0D5B" w14:textId="77777777" w:rsidR="00A50D21" w:rsidRDefault="002248D9">
            <w:pPr>
              <w:pBdr>
                <w:top w:val="nil"/>
                <w:left w:val="nil"/>
                <w:bottom w:val="nil"/>
                <w:right w:val="nil"/>
                <w:between w:val="nil"/>
              </w:pBdr>
              <w:spacing w:after="240" w:line="240" w:lineRule="auto"/>
              <w:ind w:left="0" w:firstLine="0"/>
            </w:pPr>
            <w:r>
              <w:rPr>
                <w:rFonts w:ascii="Calibri" w:eastAsia="Calibri" w:hAnsi="Calibri" w:cs="Calibri"/>
              </w:rPr>
              <w:t xml:space="preserve">Opinion of Advocate General Kokott delivered on 11 January 2024 Case C-48/22 P </w:t>
            </w:r>
            <w:r>
              <w:rPr>
                <w:rFonts w:ascii="Calibri" w:eastAsia="Calibri" w:hAnsi="Calibri" w:cs="Calibri"/>
                <w:i/>
              </w:rPr>
              <w:t>Google Shopping</w:t>
            </w:r>
            <w:r>
              <w:rPr>
                <w:rFonts w:ascii="Calibri" w:eastAsia="Calibri" w:hAnsi="Calibri" w:cs="Calibri"/>
              </w:rPr>
              <w:t xml:space="preserve"> ECLI:EU:C:2024:14</w:t>
            </w:r>
          </w:p>
          <w:p w14:paraId="01B93F1E" w14:textId="77777777" w:rsidR="00A50D21" w:rsidRDefault="002248D9">
            <w:pPr>
              <w:pBdr>
                <w:top w:val="nil"/>
                <w:left w:val="nil"/>
                <w:bottom w:val="nil"/>
                <w:right w:val="nil"/>
                <w:between w:val="nil"/>
              </w:pBdr>
              <w:spacing w:after="240" w:line="240" w:lineRule="auto"/>
              <w:ind w:left="0" w:firstLine="0"/>
            </w:pPr>
            <w:r>
              <w:rPr>
                <w:rFonts w:ascii="Calibri" w:eastAsia="Calibri" w:hAnsi="Calibri" w:cs="Calibri"/>
              </w:rPr>
              <w:t>Bibliography can be updated</w:t>
            </w:r>
            <w:r>
              <w:rPr>
                <w:rFonts w:ascii="Calibri" w:eastAsia="Calibri" w:hAnsi="Calibri" w:cs="Calibri"/>
              </w:rPr>
              <w:t xml:space="preserve"> during the course.</w:t>
            </w:r>
          </w:p>
        </w:tc>
      </w:tr>
      <w:tr w:rsidR="00A50D21" w14:paraId="7FB2CC27"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1D798D04" w14:textId="77777777" w:rsidR="00A50D21" w:rsidRDefault="002248D9">
            <w:pPr>
              <w:spacing w:after="0" w:line="276" w:lineRule="auto"/>
              <w:ind w:left="0" w:firstLine="0"/>
            </w:pPr>
            <w:r>
              <w:t>Internship as part of the course</w:t>
            </w:r>
          </w:p>
        </w:tc>
        <w:tc>
          <w:tcPr>
            <w:tcW w:w="5954" w:type="dxa"/>
            <w:tcBorders>
              <w:top w:val="single" w:sz="4" w:space="0" w:color="000000"/>
              <w:left w:val="single" w:sz="4" w:space="0" w:color="000000"/>
              <w:bottom w:val="single" w:sz="4" w:space="0" w:color="000000"/>
              <w:right w:val="single" w:sz="4" w:space="0" w:color="000000"/>
            </w:tcBorders>
          </w:tcPr>
          <w:p w14:paraId="5B239909" w14:textId="77777777" w:rsidR="00A50D21" w:rsidRDefault="00A50D21">
            <w:pPr>
              <w:spacing w:after="0" w:line="276" w:lineRule="auto"/>
              <w:ind w:left="1" w:firstLine="0"/>
            </w:pPr>
          </w:p>
        </w:tc>
      </w:tr>
      <w:tr w:rsidR="00A50D21" w14:paraId="722DEF18"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094EE4DD" w14:textId="77777777" w:rsidR="00A50D21" w:rsidRDefault="002248D9">
            <w:pPr>
              <w:spacing w:after="0" w:line="276" w:lineRule="auto"/>
              <w:ind w:left="0" w:firstLine="0"/>
            </w:pPr>
            <w:r>
              <w:t>Coordinators</w:t>
            </w:r>
          </w:p>
        </w:tc>
        <w:tc>
          <w:tcPr>
            <w:tcW w:w="5954" w:type="dxa"/>
            <w:tcBorders>
              <w:top w:val="single" w:sz="4" w:space="0" w:color="000000"/>
              <w:left w:val="single" w:sz="4" w:space="0" w:color="000000"/>
              <w:bottom w:val="single" w:sz="4" w:space="0" w:color="000000"/>
              <w:right w:val="single" w:sz="4" w:space="0" w:color="000000"/>
            </w:tcBorders>
          </w:tcPr>
          <w:p w14:paraId="32AEACF5" w14:textId="77777777" w:rsidR="00A50D21" w:rsidRDefault="00A50D21">
            <w:pPr>
              <w:spacing w:after="0" w:line="276" w:lineRule="auto"/>
              <w:ind w:left="361" w:firstLine="0"/>
            </w:pPr>
          </w:p>
        </w:tc>
      </w:tr>
      <w:tr w:rsidR="00A50D21" w14:paraId="23CEBB31" w14:textId="77777777">
        <w:trPr>
          <w:trHeight w:val="216"/>
        </w:trPr>
        <w:tc>
          <w:tcPr>
            <w:tcW w:w="3503" w:type="dxa"/>
            <w:gridSpan w:val="2"/>
            <w:tcBorders>
              <w:top w:val="single" w:sz="4" w:space="0" w:color="000000"/>
              <w:left w:val="single" w:sz="4" w:space="0" w:color="000000"/>
              <w:bottom w:val="single" w:sz="4" w:space="0" w:color="000000"/>
              <w:right w:val="single" w:sz="4" w:space="0" w:color="000000"/>
            </w:tcBorders>
          </w:tcPr>
          <w:p w14:paraId="673A5F7B" w14:textId="77777777" w:rsidR="00A50D21" w:rsidRDefault="002248D9">
            <w:pPr>
              <w:spacing w:after="0" w:line="276" w:lineRule="auto"/>
              <w:ind w:left="0" w:firstLine="0"/>
            </w:pPr>
            <w:r>
              <w:t>Group instructors</w:t>
            </w:r>
          </w:p>
        </w:tc>
        <w:tc>
          <w:tcPr>
            <w:tcW w:w="5954" w:type="dxa"/>
            <w:tcBorders>
              <w:top w:val="single" w:sz="4" w:space="0" w:color="000000"/>
              <w:left w:val="single" w:sz="4" w:space="0" w:color="000000"/>
              <w:bottom w:val="single" w:sz="4" w:space="0" w:color="000000"/>
              <w:right w:val="single" w:sz="4" w:space="0" w:color="000000"/>
            </w:tcBorders>
          </w:tcPr>
          <w:p w14:paraId="456DE3F3" w14:textId="77777777" w:rsidR="00A50D21" w:rsidRDefault="00A50D21">
            <w:pPr>
              <w:spacing w:after="0" w:line="276" w:lineRule="auto"/>
              <w:ind w:left="361" w:firstLine="0"/>
            </w:pPr>
          </w:p>
        </w:tc>
      </w:tr>
      <w:tr w:rsidR="00A50D21" w14:paraId="306CA364" w14:textId="77777777">
        <w:trPr>
          <w:trHeight w:val="218"/>
        </w:trPr>
        <w:tc>
          <w:tcPr>
            <w:tcW w:w="3503" w:type="dxa"/>
            <w:gridSpan w:val="2"/>
            <w:tcBorders>
              <w:top w:val="single" w:sz="4" w:space="0" w:color="000000"/>
              <w:left w:val="single" w:sz="4" w:space="0" w:color="000000"/>
              <w:bottom w:val="single" w:sz="4" w:space="0" w:color="000000"/>
              <w:right w:val="single" w:sz="4" w:space="0" w:color="000000"/>
            </w:tcBorders>
          </w:tcPr>
          <w:p w14:paraId="4CF01F71" w14:textId="77777777" w:rsidR="00A50D21" w:rsidRDefault="002248D9">
            <w:pPr>
              <w:spacing w:after="0" w:line="276" w:lineRule="auto"/>
              <w:ind w:left="0" w:firstLine="0"/>
            </w:pPr>
            <w:r>
              <w:t>Notes</w:t>
            </w:r>
          </w:p>
        </w:tc>
        <w:tc>
          <w:tcPr>
            <w:tcW w:w="5954" w:type="dxa"/>
            <w:tcBorders>
              <w:top w:val="single" w:sz="4" w:space="0" w:color="000000"/>
              <w:left w:val="single" w:sz="4" w:space="0" w:color="000000"/>
              <w:bottom w:val="single" w:sz="4" w:space="0" w:color="000000"/>
              <w:right w:val="single" w:sz="4" w:space="0" w:color="000000"/>
            </w:tcBorders>
          </w:tcPr>
          <w:p w14:paraId="32F30752" w14:textId="77777777" w:rsidR="00A50D21" w:rsidRDefault="00A50D21">
            <w:pPr>
              <w:spacing w:after="0" w:line="276" w:lineRule="auto"/>
              <w:ind w:left="361" w:firstLine="0"/>
            </w:pPr>
          </w:p>
        </w:tc>
      </w:tr>
    </w:tbl>
    <w:p w14:paraId="52C4FB8F" w14:textId="77777777" w:rsidR="00A50D21" w:rsidRDefault="002248D9">
      <w:pPr>
        <w:spacing w:after="0" w:line="276" w:lineRule="auto"/>
        <w:ind w:left="0" w:firstLine="0"/>
      </w:pPr>
      <w:r>
        <w:t xml:space="preserve"> </w:t>
      </w:r>
    </w:p>
    <w:p w14:paraId="69F37AAF" w14:textId="77777777" w:rsidR="00A50D21" w:rsidRDefault="002248D9">
      <w:pPr>
        <w:spacing w:after="0" w:line="276" w:lineRule="auto"/>
        <w:ind w:left="-5"/>
      </w:pPr>
      <w:r>
        <w:rPr>
          <w:b/>
        </w:rPr>
        <w:t>B. Detailed data</w:t>
      </w:r>
    </w:p>
    <w:tbl>
      <w:tblPr>
        <w:tblStyle w:val="a0"/>
        <w:tblW w:w="9463" w:type="dxa"/>
        <w:tblInd w:w="-212" w:type="dxa"/>
        <w:tblLayout w:type="fixed"/>
        <w:tblLook w:val="0400" w:firstRow="0" w:lastRow="0" w:firstColumn="0" w:lastColumn="0" w:noHBand="0" w:noVBand="1"/>
      </w:tblPr>
      <w:tblGrid>
        <w:gridCol w:w="2712"/>
        <w:gridCol w:w="6751"/>
      </w:tblGrid>
      <w:tr w:rsidR="00A50D21" w14:paraId="28BAA817"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3CB66E55" w14:textId="77777777" w:rsidR="00A50D21" w:rsidRDefault="002248D9">
            <w:pPr>
              <w:spacing w:after="0" w:line="276" w:lineRule="auto"/>
              <w:ind w:left="4" w:firstLine="0"/>
              <w:jc w:val="center"/>
            </w:pPr>
            <w:r>
              <w:rPr>
                <w:b/>
              </w:rPr>
              <w:t>Name of the field</w:t>
            </w:r>
          </w:p>
        </w:tc>
        <w:tc>
          <w:tcPr>
            <w:tcW w:w="6751" w:type="dxa"/>
            <w:tcBorders>
              <w:top w:val="single" w:sz="4" w:space="0" w:color="000000"/>
              <w:left w:val="single" w:sz="4" w:space="0" w:color="000000"/>
              <w:bottom w:val="single" w:sz="4" w:space="0" w:color="000000"/>
              <w:right w:val="single" w:sz="4" w:space="0" w:color="000000"/>
            </w:tcBorders>
          </w:tcPr>
          <w:p w14:paraId="3DB375CA" w14:textId="77777777" w:rsidR="00A50D21" w:rsidRDefault="002248D9">
            <w:pPr>
              <w:spacing w:after="0" w:line="276" w:lineRule="auto"/>
              <w:ind w:left="8" w:firstLine="0"/>
              <w:jc w:val="center"/>
            </w:pPr>
            <w:r>
              <w:rPr>
                <w:b/>
              </w:rPr>
              <w:t>Content</w:t>
            </w:r>
          </w:p>
        </w:tc>
      </w:tr>
      <w:tr w:rsidR="00A50D21" w14:paraId="0446CA02" w14:textId="77777777">
        <w:trPr>
          <w:trHeight w:val="218"/>
        </w:trPr>
        <w:tc>
          <w:tcPr>
            <w:tcW w:w="2712" w:type="dxa"/>
            <w:tcBorders>
              <w:top w:val="single" w:sz="4" w:space="0" w:color="000000"/>
              <w:left w:val="single" w:sz="4" w:space="0" w:color="000000"/>
              <w:bottom w:val="single" w:sz="4" w:space="0" w:color="000000"/>
              <w:right w:val="single" w:sz="4" w:space="0" w:color="000000"/>
            </w:tcBorders>
          </w:tcPr>
          <w:p w14:paraId="1BCF4ECD" w14:textId="77777777" w:rsidR="00A50D21" w:rsidRDefault="002248D9">
            <w:pPr>
              <w:spacing w:after="0" w:line="276" w:lineRule="auto"/>
              <w:ind w:left="0" w:firstLine="0"/>
            </w:pPr>
            <w:r>
              <w:t>Group instructors:</w:t>
            </w:r>
          </w:p>
        </w:tc>
        <w:tc>
          <w:tcPr>
            <w:tcW w:w="6751" w:type="dxa"/>
            <w:tcBorders>
              <w:top w:val="single" w:sz="4" w:space="0" w:color="000000"/>
              <w:left w:val="single" w:sz="4" w:space="0" w:color="000000"/>
              <w:bottom w:val="single" w:sz="4" w:space="0" w:color="000000"/>
              <w:right w:val="single" w:sz="4" w:space="0" w:color="000000"/>
            </w:tcBorders>
          </w:tcPr>
          <w:p w14:paraId="7B0EDD25" w14:textId="77777777" w:rsidR="00A50D21" w:rsidRDefault="002248D9">
            <w:pPr>
              <w:spacing w:after="0" w:line="276" w:lineRule="auto"/>
              <w:ind w:left="1" w:firstLine="0"/>
            </w:pPr>
            <w:r>
              <w:t>Antoni Napieralski</w:t>
            </w:r>
          </w:p>
        </w:tc>
      </w:tr>
      <w:tr w:rsidR="00A50D21" w14:paraId="5BA137EB"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2AC0620E" w14:textId="77777777" w:rsidR="00A50D21" w:rsidRDefault="002248D9">
            <w:pPr>
              <w:spacing w:after="0" w:line="276" w:lineRule="auto"/>
              <w:ind w:left="0" w:firstLine="0"/>
            </w:pPr>
            <w:r>
              <w:t>Title</w:t>
            </w:r>
          </w:p>
        </w:tc>
        <w:tc>
          <w:tcPr>
            <w:tcW w:w="6751" w:type="dxa"/>
            <w:tcBorders>
              <w:top w:val="single" w:sz="4" w:space="0" w:color="000000"/>
              <w:left w:val="single" w:sz="4" w:space="0" w:color="000000"/>
              <w:bottom w:val="single" w:sz="4" w:space="0" w:color="000000"/>
              <w:right w:val="single" w:sz="4" w:space="0" w:color="000000"/>
            </w:tcBorders>
          </w:tcPr>
          <w:p w14:paraId="317E76D3" w14:textId="77777777" w:rsidR="00A50D21" w:rsidRDefault="002248D9">
            <w:pPr>
              <w:spacing w:after="0" w:line="276" w:lineRule="auto"/>
              <w:ind w:left="1" w:firstLine="0"/>
            </w:pPr>
            <w:r>
              <w:rPr>
                <w:b/>
              </w:rPr>
              <w:t>Regulating Platform Power</w:t>
            </w:r>
          </w:p>
        </w:tc>
      </w:tr>
      <w:tr w:rsidR="00A50D21" w14:paraId="1C208956"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52EB2636" w14:textId="77777777" w:rsidR="00A50D21" w:rsidRDefault="002248D9">
            <w:pPr>
              <w:spacing w:after="0" w:line="276" w:lineRule="auto"/>
              <w:ind w:left="0" w:firstLine="0"/>
            </w:pPr>
            <w:r>
              <w:t>Type of class:</w:t>
            </w:r>
          </w:p>
        </w:tc>
        <w:tc>
          <w:tcPr>
            <w:tcW w:w="6751" w:type="dxa"/>
            <w:tcBorders>
              <w:top w:val="single" w:sz="4" w:space="0" w:color="000000"/>
              <w:left w:val="single" w:sz="4" w:space="0" w:color="000000"/>
              <w:bottom w:val="single" w:sz="4" w:space="0" w:color="000000"/>
              <w:right w:val="single" w:sz="4" w:space="0" w:color="000000"/>
            </w:tcBorders>
          </w:tcPr>
          <w:p w14:paraId="2225B86A" w14:textId="77777777" w:rsidR="00A50D21" w:rsidRDefault="002248D9">
            <w:pPr>
              <w:spacing w:after="0" w:line="276" w:lineRule="auto"/>
              <w:ind w:left="1" w:firstLine="0"/>
            </w:pPr>
            <w:r>
              <w:t>Konwersatorium</w:t>
            </w:r>
          </w:p>
        </w:tc>
      </w:tr>
      <w:tr w:rsidR="00A50D21" w14:paraId="66929E01"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27415F04" w14:textId="77777777" w:rsidR="00A50D21" w:rsidRDefault="002248D9">
            <w:pPr>
              <w:spacing w:after="0" w:line="276" w:lineRule="auto"/>
              <w:ind w:left="0" w:firstLine="0"/>
            </w:pPr>
            <w:r>
              <w:t xml:space="preserve">Learning outcomes defined for didactic </w:t>
            </w:r>
            <w:r>
              <w:lastRenderedPageBreak/>
              <w:t>method used during the course</w:t>
            </w:r>
          </w:p>
        </w:tc>
        <w:tc>
          <w:tcPr>
            <w:tcW w:w="6751" w:type="dxa"/>
            <w:tcBorders>
              <w:top w:val="single" w:sz="4" w:space="0" w:color="000000"/>
              <w:left w:val="single" w:sz="4" w:space="0" w:color="000000"/>
              <w:bottom w:val="single" w:sz="4" w:space="0" w:color="000000"/>
              <w:right w:val="single" w:sz="4" w:space="0" w:color="000000"/>
            </w:tcBorders>
          </w:tcPr>
          <w:p w14:paraId="11E6EDD4" w14:textId="77777777" w:rsidR="00A50D21" w:rsidRDefault="002248D9">
            <w:pPr>
              <w:ind w:firstLine="0"/>
            </w:pPr>
            <w:r>
              <w:rPr>
                <w:b/>
              </w:rPr>
              <w:lastRenderedPageBreak/>
              <w:t>Course objectives:</w:t>
            </w:r>
            <w:r>
              <w:t xml:space="preserve"> By the end of this course, students will be able to:</w:t>
            </w:r>
          </w:p>
          <w:p w14:paraId="633E9B88"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lastRenderedPageBreak/>
              <w:t>Define and critically assess the concept of platform power and its dimensions</w:t>
            </w:r>
          </w:p>
          <w:p w14:paraId="73E18F1D"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Identify and evaluate the sources and drivers of platform power in the digital economy and society</w:t>
            </w:r>
          </w:p>
          <w:p w14:paraId="2F3C3C27"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Analyze and compare the impacts and challenges of platform power for various st</w:t>
            </w:r>
            <w:r>
              <w:t>akeholders and interests</w:t>
            </w:r>
          </w:p>
          <w:p w14:paraId="34DC7E4F"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Understand and apply the main legal and regulatory approaches and instruments for regulating platform power</w:t>
            </w:r>
          </w:p>
          <w:p w14:paraId="09E663E2" w14:textId="77777777" w:rsidR="00A50D21" w:rsidRDefault="002248D9">
            <w:pPr>
              <w:numPr>
                <w:ilvl w:val="0"/>
                <w:numId w:val="1"/>
              </w:numPr>
              <w:pBdr>
                <w:top w:val="nil"/>
                <w:left w:val="nil"/>
                <w:bottom w:val="nil"/>
                <w:right w:val="nil"/>
                <w:between w:val="nil"/>
              </w:pBdr>
              <w:tabs>
                <w:tab w:val="left" w:pos="0"/>
              </w:tabs>
              <w:spacing w:after="0" w:line="276" w:lineRule="auto"/>
              <w:ind w:left="719" w:hanging="283"/>
            </w:pPr>
            <w:r>
              <w:t>Develop and propose solutions and recommendations for addressing platform power in a balanced and effective manner</w:t>
            </w:r>
          </w:p>
        </w:tc>
      </w:tr>
      <w:tr w:rsidR="00A50D21" w14:paraId="02FB207C"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21C48274" w14:textId="77777777" w:rsidR="00A50D21" w:rsidRDefault="002248D9">
            <w:pPr>
              <w:spacing w:after="0" w:line="276" w:lineRule="auto"/>
              <w:ind w:left="0" w:firstLine="0"/>
            </w:pPr>
            <w:r>
              <w:lastRenderedPageBreak/>
              <w:t>Assessm</w:t>
            </w:r>
            <w:r>
              <w:t>ent methods and assessment criteria for didactic method used during the course</w:t>
            </w:r>
          </w:p>
        </w:tc>
        <w:tc>
          <w:tcPr>
            <w:tcW w:w="6751" w:type="dxa"/>
            <w:tcBorders>
              <w:top w:val="single" w:sz="4" w:space="0" w:color="000000"/>
              <w:left w:val="single" w:sz="4" w:space="0" w:color="000000"/>
              <w:bottom w:val="single" w:sz="4" w:space="0" w:color="000000"/>
              <w:right w:val="single" w:sz="4" w:space="0" w:color="000000"/>
            </w:tcBorders>
          </w:tcPr>
          <w:p w14:paraId="0ACD59CF" w14:textId="77777777" w:rsidR="00A50D21" w:rsidRDefault="002248D9">
            <w:r>
              <w:rPr>
                <w:color w:val="007F00"/>
              </w:rPr>
              <w:t>Course credit will consist of:</w:t>
            </w:r>
            <w:r>
              <w:rPr>
                <w:color w:val="007F00"/>
              </w:rPr>
              <w:br/>
              <w:t>- attendance in class and active participation (60%)</w:t>
            </w:r>
            <w:r>
              <w:rPr>
                <w:color w:val="007F00"/>
              </w:rPr>
              <w:br/>
              <w:t>- writing an essay on a topic assigned in class (40%)</w:t>
            </w:r>
          </w:p>
        </w:tc>
      </w:tr>
      <w:tr w:rsidR="00A50D21" w14:paraId="252D61F4" w14:textId="77777777">
        <w:trPr>
          <w:trHeight w:val="218"/>
        </w:trPr>
        <w:tc>
          <w:tcPr>
            <w:tcW w:w="2712" w:type="dxa"/>
            <w:tcBorders>
              <w:top w:val="single" w:sz="4" w:space="0" w:color="000000"/>
              <w:left w:val="single" w:sz="4" w:space="0" w:color="000000"/>
              <w:bottom w:val="single" w:sz="4" w:space="0" w:color="000000"/>
              <w:right w:val="single" w:sz="4" w:space="0" w:color="000000"/>
            </w:tcBorders>
          </w:tcPr>
          <w:p w14:paraId="7719F70E" w14:textId="77777777" w:rsidR="00A50D21" w:rsidRDefault="002248D9">
            <w:pPr>
              <w:spacing w:after="0" w:line="276" w:lineRule="auto"/>
              <w:ind w:left="0" w:firstLine="0"/>
            </w:pPr>
            <w:r>
              <w:t>Examination for didactic method used d</w:t>
            </w:r>
            <w:r>
              <w:t>uring the course</w:t>
            </w:r>
          </w:p>
        </w:tc>
        <w:tc>
          <w:tcPr>
            <w:tcW w:w="6751" w:type="dxa"/>
            <w:tcBorders>
              <w:top w:val="single" w:sz="4" w:space="0" w:color="000000"/>
              <w:left w:val="single" w:sz="4" w:space="0" w:color="000000"/>
              <w:bottom w:val="single" w:sz="4" w:space="0" w:color="000000"/>
              <w:right w:val="single" w:sz="4" w:space="0" w:color="000000"/>
            </w:tcBorders>
          </w:tcPr>
          <w:p w14:paraId="3A27D544" w14:textId="77777777" w:rsidR="00A50D21" w:rsidRDefault="002248D9">
            <w:r>
              <w:rPr>
                <w:color w:val="007F00"/>
              </w:rPr>
              <w:t>Course credit will consist of:</w:t>
            </w:r>
            <w:r>
              <w:rPr>
                <w:color w:val="007F00"/>
              </w:rPr>
              <w:br/>
              <w:t>- attendance in class and active participation (60%)</w:t>
            </w:r>
            <w:r>
              <w:rPr>
                <w:color w:val="007F00"/>
              </w:rPr>
              <w:br/>
              <w:t>- writing an essay on a topic assigned in class (40%)</w:t>
            </w:r>
          </w:p>
        </w:tc>
      </w:tr>
      <w:tr w:rsidR="00A50D21" w14:paraId="0D7DD35D"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591395B8" w14:textId="77777777" w:rsidR="00A50D21" w:rsidRDefault="002248D9">
            <w:pPr>
              <w:spacing w:after="0" w:line="276" w:lineRule="auto"/>
              <w:ind w:left="0" w:firstLine="0"/>
            </w:pPr>
            <w:r>
              <w:t>Range of content</w:t>
            </w:r>
          </w:p>
        </w:tc>
        <w:tc>
          <w:tcPr>
            <w:tcW w:w="6751" w:type="dxa"/>
            <w:tcBorders>
              <w:top w:val="single" w:sz="4" w:space="0" w:color="000000"/>
              <w:left w:val="single" w:sz="4" w:space="0" w:color="000000"/>
              <w:bottom w:val="single" w:sz="4" w:space="0" w:color="000000"/>
              <w:right w:val="single" w:sz="4" w:space="0" w:color="000000"/>
            </w:tcBorders>
          </w:tcPr>
          <w:p w14:paraId="5F63AA01" w14:textId="77777777" w:rsidR="00A50D21" w:rsidRDefault="00A50D21">
            <w:pPr>
              <w:spacing w:after="0" w:line="276" w:lineRule="auto"/>
              <w:ind w:left="1" w:firstLine="0"/>
            </w:pPr>
          </w:p>
        </w:tc>
      </w:tr>
      <w:tr w:rsidR="00A50D21" w14:paraId="4D7A650C" w14:textId="77777777">
        <w:trPr>
          <w:trHeight w:val="216"/>
        </w:trPr>
        <w:tc>
          <w:tcPr>
            <w:tcW w:w="2712" w:type="dxa"/>
            <w:tcBorders>
              <w:top w:val="single" w:sz="4" w:space="0" w:color="000000"/>
              <w:left w:val="single" w:sz="4" w:space="0" w:color="000000"/>
              <w:bottom w:val="single" w:sz="4" w:space="0" w:color="000000"/>
              <w:right w:val="single" w:sz="4" w:space="0" w:color="000000"/>
            </w:tcBorders>
          </w:tcPr>
          <w:p w14:paraId="2F2258F3" w14:textId="77777777" w:rsidR="00A50D21" w:rsidRDefault="002248D9">
            <w:pPr>
              <w:spacing w:after="0" w:line="276" w:lineRule="auto"/>
              <w:ind w:left="0" w:firstLine="0"/>
            </w:pPr>
            <w:r>
              <w:t>Didactic methods</w:t>
            </w:r>
          </w:p>
        </w:tc>
        <w:tc>
          <w:tcPr>
            <w:tcW w:w="6751" w:type="dxa"/>
            <w:tcBorders>
              <w:top w:val="single" w:sz="4" w:space="0" w:color="000000"/>
              <w:left w:val="single" w:sz="4" w:space="0" w:color="000000"/>
              <w:bottom w:val="single" w:sz="4" w:space="0" w:color="000000"/>
              <w:right w:val="single" w:sz="4" w:space="0" w:color="000000"/>
            </w:tcBorders>
          </w:tcPr>
          <w:p w14:paraId="53BB24AA" w14:textId="77777777" w:rsidR="00A50D21" w:rsidRDefault="00A50D21">
            <w:pPr>
              <w:spacing w:after="0" w:line="276" w:lineRule="auto"/>
              <w:ind w:left="1" w:firstLine="0"/>
            </w:pPr>
          </w:p>
        </w:tc>
      </w:tr>
      <w:tr w:rsidR="00A50D21" w14:paraId="62B43079" w14:textId="77777777">
        <w:trPr>
          <w:trHeight w:val="218"/>
        </w:trPr>
        <w:tc>
          <w:tcPr>
            <w:tcW w:w="2712" w:type="dxa"/>
            <w:tcBorders>
              <w:top w:val="single" w:sz="4" w:space="0" w:color="000000"/>
              <w:left w:val="single" w:sz="4" w:space="0" w:color="000000"/>
              <w:bottom w:val="single" w:sz="4" w:space="0" w:color="000000"/>
              <w:right w:val="single" w:sz="4" w:space="0" w:color="000000"/>
            </w:tcBorders>
          </w:tcPr>
          <w:p w14:paraId="6B836EA6" w14:textId="77777777" w:rsidR="00A50D21" w:rsidRDefault="002248D9">
            <w:pPr>
              <w:spacing w:after="0" w:line="276" w:lineRule="auto"/>
              <w:ind w:left="0" w:firstLine="0"/>
            </w:pPr>
            <w:r>
              <w:t>Bibliography</w:t>
            </w:r>
          </w:p>
        </w:tc>
        <w:tc>
          <w:tcPr>
            <w:tcW w:w="6751" w:type="dxa"/>
            <w:tcBorders>
              <w:top w:val="single" w:sz="4" w:space="0" w:color="000000"/>
              <w:left w:val="single" w:sz="4" w:space="0" w:color="000000"/>
              <w:bottom w:val="single" w:sz="4" w:space="0" w:color="000000"/>
              <w:right w:val="single" w:sz="4" w:space="0" w:color="000000"/>
            </w:tcBorders>
          </w:tcPr>
          <w:p w14:paraId="2C38C8B9"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Bostoen F and Petit N, ‘Platforms’ Treacherous Turn’ (1 December 2023)</w:t>
            </w:r>
          </w:p>
          <w:p w14:paraId="197922C6"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 xml:space="preserve">Colomo PI, </w:t>
            </w:r>
            <w:r>
              <w:rPr>
                <w:rFonts w:ascii="Calibri" w:eastAsia="Calibri" w:hAnsi="Calibri" w:cs="Calibri"/>
                <w:i/>
              </w:rPr>
              <w:t>The New EU Competition Law</w:t>
            </w:r>
            <w:r>
              <w:rPr>
                <w:rFonts w:ascii="Calibri" w:eastAsia="Calibri" w:hAnsi="Calibri" w:cs="Calibri"/>
              </w:rPr>
              <w:t xml:space="preserve"> (Hart Publishing 2023) [Chapters 5 &amp; 8]</w:t>
            </w:r>
          </w:p>
          <w:p w14:paraId="5737B6EF"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Deutscher E, ‘Google Shopping and the Quest for a Legal Test for Self-Preferencing Under Article 102 TFEU’ (2022) 2021 6 European Papers - A Journal on Law and Integration 1345</w:t>
            </w:r>
          </w:p>
          <w:p w14:paraId="0F71C0B9"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Filistrucchi L and others, ‘Maket Definition in Two-sided Markets: Theory and P</w:t>
            </w:r>
            <w:r>
              <w:rPr>
                <w:rFonts w:ascii="Calibri" w:eastAsia="Calibri" w:hAnsi="Calibri" w:cs="Calibri"/>
              </w:rPr>
              <w:t>ractice’ (2014) 10 Journal of Competition Law &amp; Economics 293</w:t>
            </w:r>
          </w:p>
          <w:p w14:paraId="19FB4124"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Hoffmann J, Herrmann L and Kestler L, ‘Gatekeeper’s Potential Privilege—the Need to Limit DMA Centralization’ [2023] Journal of Antitrust Enforcement jnad040</w:t>
            </w:r>
          </w:p>
          <w:p w14:paraId="56FEC3F0"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Martínez AR, ‘The DMA’s Ithaca: Cont</w:t>
            </w:r>
            <w:r>
              <w:rPr>
                <w:rFonts w:ascii="Calibri" w:eastAsia="Calibri" w:hAnsi="Calibri" w:cs="Calibri"/>
              </w:rPr>
              <w:t>estable and Fair Markets’ (2023) 46 World Competition Law and Economics Review</w:t>
            </w:r>
          </w:p>
          <w:p w14:paraId="06AFC16E" w14:textId="77777777" w:rsidR="00A50D21" w:rsidRDefault="002248D9">
            <w:pPr>
              <w:pBdr>
                <w:top w:val="nil"/>
                <w:left w:val="nil"/>
                <w:bottom w:val="nil"/>
                <w:right w:val="nil"/>
                <w:between w:val="nil"/>
              </w:pBdr>
              <w:spacing w:after="0" w:line="240" w:lineRule="auto"/>
              <w:ind w:left="0" w:firstLine="0"/>
              <w:rPr>
                <w:rFonts w:ascii="Calibri" w:eastAsia="Calibri" w:hAnsi="Calibri" w:cs="Calibri"/>
              </w:rPr>
            </w:pPr>
            <w:r>
              <w:rPr>
                <w:rFonts w:ascii="Calibri" w:eastAsia="Calibri" w:hAnsi="Calibri" w:cs="Calibri"/>
              </w:rPr>
              <w:t>Waerdt PJ van de, ‘Meta v Bundeskartellamt: Something Old, Something New’ (2024) 2023 8 European Papers - A Journal on Law and Integration 1077</w:t>
            </w:r>
          </w:p>
          <w:p w14:paraId="1F9C5A60" w14:textId="77777777" w:rsidR="00A50D21" w:rsidRDefault="002248D9">
            <w:pPr>
              <w:pBdr>
                <w:top w:val="nil"/>
                <w:left w:val="nil"/>
                <w:bottom w:val="nil"/>
                <w:right w:val="nil"/>
                <w:between w:val="nil"/>
              </w:pBdr>
              <w:spacing w:after="240" w:line="240" w:lineRule="auto"/>
              <w:ind w:left="0" w:firstLine="0"/>
            </w:pPr>
            <w:r>
              <w:rPr>
                <w:rFonts w:ascii="Calibri" w:eastAsia="Calibri" w:hAnsi="Calibri" w:cs="Calibri"/>
              </w:rPr>
              <w:t>Opinion of Advocate General Kokot</w:t>
            </w:r>
            <w:r>
              <w:rPr>
                <w:rFonts w:ascii="Calibri" w:eastAsia="Calibri" w:hAnsi="Calibri" w:cs="Calibri"/>
              </w:rPr>
              <w:t xml:space="preserve">t delivered on 11 January 2024 Case C-48/22 P </w:t>
            </w:r>
            <w:r>
              <w:rPr>
                <w:rFonts w:ascii="Calibri" w:eastAsia="Calibri" w:hAnsi="Calibri" w:cs="Calibri"/>
                <w:i/>
              </w:rPr>
              <w:t>Google Shopping</w:t>
            </w:r>
            <w:r>
              <w:rPr>
                <w:rFonts w:ascii="Calibri" w:eastAsia="Calibri" w:hAnsi="Calibri" w:cs="Calibri"/>
              </w:rPr>
              <w:t xml:space="preserve"> ECLI:EU:C:2024:14</w:t>
            </w:r>
          </w:p>
          <w:p w14:paraId="4C43DE4E" w14:textId="77777777" w:rsidR="00A50D21" w:rsidRDefault="002248D9">
            <w:pPr>
              <w:pBdr>
                <w:top w:val="nil"/>
                <w:left w:val="nil"/>
                <w:bottom w:val="nil"/>
                <w:right w:val="nil"/>
                <w:between w:val="nil"/>
              </w:pBdr>
              <w:spacing w:after="240" w:line="240" w:lineRule="auto"/>
              <w:ind w:left="0" w:firstLine="0"/>
            </w:pPr>
            <w:r>
              <w:rPr>
                <w:rFonts w:ascii="Calibri" w:eastAsia="Calibri" w:hAnsi="Calibri" w:cs="Calibri"/>
              </w:rPr>
              <w:t xml:space="preserve">Bibliography can be updated during the course. </w:t>
            </w:r>
          </w:p>
        </w:tc>
      </w:tr>
      <w:tr w:rsidR="00A50D21" w14:paraId="679D954A" w14:textId="77777777">
        <w:trPr>
          <w:trHeight w:val="216"/>
        </w:trPr>
        <w:tc>
          <w:tcPr>
            <w:tcW w:w="2712" w:type="dxa"/>
            <w:tcBorders>
              <w:top w:val="single" w:sz="4" w:space="0" w:color="000000"/>
              <w:left w:val="single" w:sz="4" w:space="0" w:color="000000"/>
              <w:bottom w:val="single" w:sz="4" w:space="0" w:color="000000"/>
              <w:right w:val="single" w:sz="4" w:space="0" w:color="000000"/>
            </w:tcBorders>
            <w:shd w:val="clear" w:color="auto" w:fill="E6E6E6"/>
          </w:tcPr>
          <w:p w14:paraId="35B47F81" w14:textId="77777777" w:rsidR="00A50D21" w:rsidRDefault="002248D9">
            <w:pPr>
              <w:spacing w:after="0" w:line="276" w:lineRule="auto"/>
              <w:ind w:left="0" w:firstLine="0"/>
            </w:pPr>
            <w:r>
              <w:t>Group limit</w:t>
            </w:r>
          </w:p>
        </w:tc>
        <w:tc>
          <w:tcPr>
            <w:tcW w:w="6751" w:type="dxa"/>
            <w:tcBorders>
              <w:top w:val="single" w:sz="4" w:space="0" w:color="000000"/>
              <w:left w:val="single" w:sz="4" w:space="0" w:color="000000"/>
              <w:bottom w:val="single" w:sz="4" w:space="0" w:color="000000"/>
              <w:right w:val="single" w:sz="4" w:space="0" w:color="000000"/>
            </w:tcBorders>
            <w:shd w:val="clear" w:color="auto" w:fill="E6E6E6"/>
          </w:tcPr>
          <w:p w14:paraId="688C40C4" w14:textId="77777777" w:rsidR="00A50D21" w:rsidRDefault="00A50D21">
            <w:pPr>
              <w:spacing w:after="0" w:line="276" w:lineRule="auto"/>
              <w:ind w:left="1" w:firstLine="0"/>
            </w:pPr>
          </w:p>
        </w:tc>
      </w:tr>
      <w:tr w:rsidR="00A50D21" w14:paraId="06444D43" w14:textId="77777777">
        <w:trPr>
          <w:trHeight w:val="216"/>
        </w:trPr>
        <w:tc>
          <w:tcPr>
            <w:tcW w:w="2712" w:type="dxa"/>
            <w:tcBorders>
              <w:top w:val="single" w:sz="4" w:space="0" w:color="000000"/>
              <w:left w:val="single" w:sz="4" w:space="0" w:color="000000"/>
              <w:bottom w:val="single" w:sz="4" w:space="0" w:color="000000"/>
              <w:right w:val="single" w:sz="4" w:space="0" w:color="000000"/>
            </w:tcBorders>
            <w:shd w:val="clear" w:color="auto" w:fill="E6E6E6"/>
          </w:tcPr>
          <w:p w14:paraId="23751BEA" w14:textId="77777777" w:rsidR="00A50D21" w:rsidRDefault="002248D9">
            <w:pPr>
              <w:spacing w:after="0" w:line="276" w:lineRule="auto"/>
              <w:ind w:left="0" w:firstLine="0"/>
            </w:pPr>
            <w:r>
              <w:t>Time span</w:t>
            </w:r>
          </w:p>
        </w:tc>
        <w:tc>
          <w:tcPr>
            <w:tcW w:w="6751" w:type="dxa"/>
            <w:tcBorders>
              <w:top w:val="single" w:sz="4" w:space="0" w:color="000000"/>
              <w:left w:val="single" w:sz="4" w:space="0" w:color="000000"/>
              <w:bottom w:val="single" w:sz="4" w:space="0" w:color="000000"/>
              <w:right w:val="single" w:sz="4" w:space="0" w:color="000000"/>
            </w:tcBorders>
            <w:shd w:val="clear" w:color="auto" w:fill="E6E6E6"/>
          </w:tcPr>
          <w:p w14:paraId="5EBCA64A" w14:textId="77777777" w:rsidR="00A50D21" w:rsidRDefault="00A50D21">
            <w:pPr>
              <w:spacing w:after="0" w:line="276" w:lineRule="auto"/>
              <w:ind w:left="1" w:firstLine="0"/>
            </w:pPr>
          </w:p>
        </w:tc>
      </w:tr>
      <w:tr w:rsidR="00A50D21" w14:paraId="24D2C48D" w14:textId="77777777">
        <w:trPr>
          <w:trHeight w:val="215"/>
        </w:trPr>
        <w:tc>
          <w:tcPr>
            <w:tcW w:w="2712" w:type="dxa"/>
            <w:tcBorders>
              <w:top w:val="single" w:sz="4" w:space="0" w:color="000000"/>
              <w:left w:val="single" w:sz="4" w:space="0" w:color="000000"/>
              <w:bottom w:val="single" w:sz="4" w:space="0" w:color="000000"/>
              <w:right w:val="single" w:sz="4" w:space="0" w:color="000000"/>
            </w:tcBorders>
            <w:shd w:val="clear" w:color="auto" w:fill="E6E6E6"/>
          </w:tcPr>
          <w:p w14:paraId="0554B7CB" w14:textId="77777777" w:rsidR="00A50D21" w:rsidRDefault="002248D9">
            <w:pPr>
              <w:spacing w:after="0" w:line="276" w:lineRule="auto"/>
              <w:ind w:left="0" w:firstLine="0"/>
            </w:pPr>
            <w:r>
              <w:t>Location</w:t>
            </w:r>
          </w:p>
        </w:tc>
        <w:tc>
          <w:tcPr>
            <w:tcW w:w="6751" w:type="dxa"/>
            <w:tcBorders>
              <w:top w:val="single" w:sz="4" w:space="0" w:color="000000"/>
              <w:left w:val="single" w:sz="4" w:space="0" w:color="000000"/>
              <w:bottom w:val="single" w:sz="4" w:space="0" w:color="000000"/>
              <w:right w:val="single" w:sz="4" w:space="0" w:color="000000"/>
            </w:tcBorders>
            <w:shd w:val="clear" w:color="auto" w:fill="E6E6E6"/>
          </w:tcPr>
          <w:p w14:paraId="1E1B9FEB" w14:textId="77777777" w:rsidR="00A50D21" w:rsidRDefault="00A50D21">
            <w:pPr>
              <w:spacing w:after="0" w:line="276" w:lineRule="auto"/>
              <w:ind w:left="1" w:firstLine="0"/>
            </w:pPr>
          </w:p>
        </w:tc>
      </w:tr>
    </w:tbl>
    <w:p w14:paraId="44CB2851" w14:textId="77777777" w:rsidR="00A50D21" w:rsidRDefault="00A50D21">
      <w:pPr>
        <w:spacing w:line="246" w:lineRule="auto"/>
      </w:pPr>
    </w:p>
    <w:sectPr w:rsidR="00A50D21">
      <w:pgSz w:w="11906" w:h="16838"/>
      <w:pgMar w:top="1417"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C64"/>
    <w:multiLevelType w:val="multilevel"/>
    <w:tmpl w:val="A30EE79E"/>
    <w:lvl w:ilvl="0">
      <w:start w:val="1"/>
      <w:numFmt w:val="bullet"/>
      <w:lvlText w:val="●"/>
      <w:lvlJc w:val="left"/>
      <w:pPr>
        <w:ind w:left="709" w:hanging="282"/>
      </w:pPr>
      <w:rPr>
        <w:rFonts w:ascii="Noto Sans Symbols" w:eastAsia="Noto Sans Symbols" w:hAnsi="Noto Sans Symbols" w:cs="Noto Sans Symbols"/>
      </w:rPr>
    </w:lvl>
    <w:lvl w:ilvl="1">
      <w:start w:val="1"/>
      <w:numFmt w:val="bullet"/>
      <w:lvlText w:val="●"/>
      <w:lvlJc w:val="left"/>
      <w:pPr>
        <w:ind w:left="1418" w:hanging="282"/>
      </w:pPr>
      <w:rPr>
        <w:rFonts w:ascii="Noto Sans Symbols" w:eastAsia="Noto Sans Symbols" w:hAnsi="Noto Sans Symbols" w:cs="Noto Sans Symbols"/>
      </w:rPr>
    </w:lvl>
    <w:lvl w:ilvl="2">
      <w:start w:val="1"/>
      <w:numFmt w:val="bullet"/>
      <w:lvlText w:val="●"/>
      <w:lvlJc w:val="left"/>
      <w:pPr>
        <w:ind w:left="2127" w:hanging="283"/>
      </w:pPr>
      <w:rPr>
        <w:rFonts w:ascii="Noto Sans Symbols" w:eastAsia="Noto Sans Symbols" w:hAnsi="Noto Sans Symbols" w:cs="Noto Sans Symbols"/>
      </w:rPr>
    </w:lvl>
    <w:lvl w:ilvl="3">
      <w:start w:val="1"/>
      <w:numFmt w:val="bullet"/>
      <w:lvlText w:val="●"/>
      <w:lvlJc w:val="left"/>
      <w:pPr>
        <w:ind w:left="2836" w:hanging="283"/>
      </w:pPr>
      <w:rPr>
        <w:rFonts w:ascii="Noto Sans Symbols" w:eastAsia="Noto Sans Symbols" w:hAnsi="Noto Sans Symbols" w:cs="Noto Sans Symbols"/>
      </w:rPr>
    </w:lvl>
    <w:lvl w:ilvl="4">
      <w:start w:val="1"/>
      <w:numFmt w:val="bullet"/>
      <w:lvlText w:val="●"/>
      <w:lvlJc w:val="left"/>
      <w:pPr>
        <w:ind w:left="3545" w:hanging="283"/>
      </w:pPr>
      <w:rPr>
        <w:rFonts w:ascii="Noto Sans Symbols" w:eastAsia="Noto Sans Symbols" w:hAnsi="Noto Sans Symbols" w:cs="Noto Sans Symbols"/>
      </w:rPr>
    </w:lvl>
    <w:lvl w:ilvl="5">
      <w:start w:val="1"/>
      <w:numFmt w:val="bullet"/>
      <w:lvlText w:val="●"/>
      <w:lvlJc w:val="left"/>
      <w:pPr>
        <w:ind w:left="4254" w:hanging="283"/>
      </w:pPr>
      <w:rPr>
        <w:rFonts w:ascii="Noto Sans Symbols" w:eastAsia="Noto Sans Symbols" w:hAnsi="Noto Sans Symbols" w:cs="Noto Sans Symbols"/>
      </w:rPr>
    </w:lvl>
    <w:lvl w:ilvl="6">
      <w:start w:val="1"/>
      <w:numFmt w:val="bullet"/>
      <w:lvlText w:val="●"/>
      <w:lvlJc w:val="left"/>
      <w:pPr>
        <w:ind w:left="4963" w:hanging="283"/>
      </w:pPr>
      <w:rPr>
        <w:rFonts w:ascii="Noto Sans Symbols" w:eastAsia="Noto Sans Symbols" w:hAnsi="Noto Sans Symbols" w:cs="Noto Sans Symbols"/>
      </w:rPr>
    </w:lvl>
    <w:lvl w:ilvl="7">
      <w:start w:val="1"/>
      <w:numFmt w:val="bullet"/>
      <w:lvlText w:val="●"/>
      <w:lvlJc w:val="left"/>
      <w:pPr>
        <w:ind w:left="5672" w:hanging="282"/>
      </w:pPr>
      <w:rPr>
        <w:rFonts w:ascii="Noto Sans Symbols" w:eastAsia="Noto Sans Symbols" w:hAnsi="Noto Sans Symbols" w:cs="Noto Sans Symbols"/>
      </w:rPr>
    </w:lvl>
    <w:lvl w:ilvl="8">
      <w:start w:val="1"/>
      <w:numFmt w:val="bullet"/>
      <w:lvlText w:val="●"/>
      <w:lvlJc w:val="left"/>
      <w:pPr>
        <w:ind w:left="6381" w:hanging="282"/>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21"/>
    <w:rsid w:val="002248D9"/>
    <w:rsid w:val="00A50D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1648"/>
  <w15:docId w15:val="{03D9F351-32E8-4D58-95A0-2D7F532E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after="5" w:line="246"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uppressAutoHyphens/>
      <w:spacing w:line="247" w:lineRule="auto"/>
      <w:ind w:hanging="10"/>
    </w:pPr>
    <w:rPr>
      <w:color w:val="000000"/>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character" w:customStyle="1" w:styleId="NagwekZnak">
    <w:name w:val="Nagłówek Znak"/>
    <w:basedOn w:val="Domylnaczcionkaakapitu"/>
    <w:link w:val="Nagwek"/>
    <w:uiPriority w:val="99"/>
    <w:qFormat/>
    <w:rsid w:val="006F4F7C"/>
    <w:rPr>
      <w:rFonts w:ascii="Arial" w:eastAsia="Arial" w:hAnsi="Arial" w:cs="Arial"/>
      <w:color w:val="000000"/>
      <w:lang w:eastAsia="pl-PL"/>
    </w:rPr>
  </w:style>
  <w:style w:type="character" w:customStyle="1" w:styleId="StopkaZnak">
    <w:name w:val="Stopka Znak"/>
    <w:basedOn w:val="Domylnaczcionkaakapitu"/>
    <w:link w:val="Stopka"/>
    <w:uiPriority w:val="99"/>
    <w:qFormat/>
    <w:rsid w:val="006F4F7C"/>
    <w:rPr>
      <w:rFonts w:ascii="Arial" w:eastAsia="Arial" w:hAnsi="Arial" w:cs="Arial"/>
      <w:color w:val="000000"/>
      <w:lang w:eastAsia="pl-PL"/>
    </w:rPr>
  </w:style>
  <w:style w:type="character" w:styleId="Pogrubienie">
    <w:name w:val="Strong"/>
    <w:qFormat/>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6F4F7C"/>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paragraph" w:customStyle="1" w:styleId="Bibliografia1">
    <w:name w:val="Bibliografia 1"/>
    <w:basedOn w:val="Indeks"/>
    <w:qFormat/>
    <w:pPr>
      <w:spacing w:after="240" w:line="240" w:lineRule="atLeast"/>
      <w:ind w:left="0" w:firstLine="0"/>
    </w:p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table" w:customStyle="1" w:styleId="TableGrid">
    <w:name w:val="TableGrid"/>
    <w:rsid w:val="00325422"/>
    <w:pPr>
      <w:spacing w:after="0" w:line="240" w:lineRule="auto"/>
    </w:pPr>
    <w:rPr>
      <w:rFonts w:eastAsiaTheme="minorEastAsia"/>
    </w:rPr>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6" w:type="dxa"/>
        <w:bottom w:w="0" w:type="dxa"/>
        <w:right w:w="115" w:type="dxa"/>
      </w:tblCellMar>
    </w:tblPr>
  </w:style>
  <w:style w:type="table" w:customStyle="1" w:styleId="a0">
    <w:basedOn w:val="TableNormal"/>
    <w:pPr>
      <w:spacing w:after="0" w:line="240" w:lineRule="auto"/>
    </w:pPr>
    <w:tblPr>
      <w:tblStyleRowBandSize w:val="1"/>
      <w:tblStyleColBandSize w:val="1"/>
      <w:tblCellMar>
        <w:top w:w="4" w:type="dxa"/>
        <w:left w:w="106"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cpj0GH0YrqgpXAEAS9bWZm6sbg==">CgMxLjA4AHIhMUxTajBtemZLdW1KM2xiaXBkVXhSazMxTUVpXzM2VC1E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5095</Characters>
  <Application>Microsoft Office Word</Application>
  <DocSecurity>0</DocSecurity>
  <Lines>42</Lines>
  <Paragraphs>11</Paragraphs>
  <ScaleCrop>false</ScaleCrop>
  <Company>Uniwersytet Warszawski</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Król</dc:creator>
  <cp:lastModifiedBy>Agata Król</cp:lastModifiedBy>
  <cp:revision>2</cp:revision>
  <dcterms:created xsi:type="dcterms:W3CDTF">2024-09-11T14:43:00Z</dcterms:created>
  <dcterms:modified xsi:type="dcterms:W3CDTF">2024-09-11T14:43:00Z</dcterms:modified>
</cp:coreProperties>
</file>