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1E128B" w:rsidRDefault="00B06052" w:rsidP="00325422">
      <w:pPr>
        <w:spacing w:after="0" w:line="276" w:lineRule="auto"/>
        <w:ind w:left="0" w:firstLine="0"/>
        <w:jc w:val="center"/>
        <w:rPr>
          <w:sz w:val="18"/>
          <w:szCs w:val="18"/>
          <w:lang w:val="en-GB"/>
        </w:rPr>
      </w:pPr>
      <w:r w:rsidRPr="001E128B">
        <w:rPr>
          <w:sz w:val="18"/>
          <w:szCs w:val="18"/>
          <w:lang w:val="en-GB"/>
        </w:rPr>
        <w:t>Course description form</w:t>
      </w:r>
      <w:r w:rsidR="00325422" w:rsidRPr="001E128B">
        <w:rPr>
          <w:sz w:val="18"/>
          <w:szCs w:val="18"/>
          <w:lang w:val="en-GB"/>
        </w:rPr>
        <w:t xml:space="preserve"> (</w:t>
      </w:r>
      <w:r w:rsidRPr="001E128B">
        <w:rPr>
          <w:sz w:val="18"/>
          <w:szCs w:val="18"/>
          <w:lang w:val="en-GB"/>
        </w:rPr>
        <w:t>syllabus form</w:t>
      </w:r>
      <w:r w:rsidR="00325422" w:rsidRPr="001E128B">
        <w:rPr>
          <w:sz w:val="18"/>
          <w:szCs w:val="18"/>
          <w:lang w:val="en-GB"/>
        </w:rPr>
        <w:t xml:space="preserve">) – </w:t>
      </w:r>
      <w:r w:rsidRPr="001E128B">
        <w:rPr>
          <w:sz w:val="18"/>
          <w:szCs w:val="18"/>
          <w:lang w:val="en-GB"/>
        </w:rPr>
        <w:t>for 1</w:t>
      </w:r>
      <w:r w:rsidRPr="001E128B">
        <w:rPr>
          <w:sz w:val="18"/>
          <w:szCs w:val="18"/>
          <w:vertAlign w:val="superscript"/>
          <w:lang w:val="en-GB"/>
        </w:rPr>
        <w:t>st</w:t>
      </w:r>
      <w:r w:rsidRPr="001E128B">
        <w:rPr>
          <w:sz w:val="18"/>
          <w:szCs w:val="18"/>
          <w:lang w:val="en-GB"/>
        </w:rPr>
        <w:t xml:space="preserve"> and 2</w:t>
      </w:r>
      <w:r w:rsidRPr="001E128B">
        <w:rPr>
          <w:sz w:val="18"/>
          <w:szCs w:val="18"/>
          <w:vertAlign w:val="superscript"/>
          <w:lang w:val="en-GB"/>
        </w:rPr>
        <w:t>nd</w:t>
      </w:r>
      <w:r w:rsidRPr="001E128B">
        <w:rPr>
          <w:sz w:val="18"/>
          <w:szCs w:val="18"/>
          <w:lang w:val="en-GB"/>
        </w:rPr>
        <w:t xml:space="preserve"> cycle studies</w:t>
      </w:r>
    </w:p>
    <w:p w14:paraId="68145C5C" w14:textId="77777777" w:rsidR="00325422" w:rsidRPr="001E128B" w:rsidRDefault="00325422" w:rsidP="00325422">
      <w:pPr>
        <w:spacing w:after="0" w:line="276" w:lineRule="auto"/>
        <w:ind w:left="0" w:firstLine="0"/>
        <w:rPr>
          <w:sz w:val="18"/>
          <w:szCs w:val="18"/>
          <w:lang w:val="en-GB"/>
        </w:rPr>
      </w:pPr>
    </w:p>
    <w:p w14:paraId="70281B2C" w14:textId="4B1B3114" w:rsidR="00325422" w:rsidRPr="001E128B" w:rsidRDefault="00325422" w:rsidP="00325422">
      <w:pPr>
        <w:spacing w:after="0" w:line="276" w:lineRule="auto"/>
        <w:ind w:left="-5"/>
        <w:rPr>
          <w:sz w:val="18"/>
          <w:szCs w:val="18"/>
        </w:rPr>
      </w:pPr>
      <w:r w:rsidRPr="001E128B">
        <w:rPr>
          <w:b/>
          <w:sz w:val="18"/>
          <w:szCs w:val="18"/>
        </w:rPr>
        <w:t xml:space="preserve">A. </w:t>
      </w:r>
      <w:r w:rsidR="00B06052" w:rsidRPr="001E128B">
        <w:rPr>
          <w:b/>
          <w:sz w:val="18"/>
          <w:szCs w:val="18"/>
        </w:rPr>
        <w:t>General data</w:t>
      </w:r>
      <w:r w:rsidRPr="001E128B">
        <w:rPr>
          <w:b/>
          <w:sz w:val="18"/>
          <w:szCs w:val="18"/>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493"/>
        <w:gridCol w:w="3003"/>
        <w:gridCol w:w="4961"/>
      </w:tblGrid>
      <w:tr w:rsidR="00325422" w:rsidRPr="001E128B" w14:paraId="17839006"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1E128B" w:rsidRDefault="00B06052" w:rsidP="00883FAD">
            <w:pPr>
              <w:spacing w:after="0" w:line="276" w:lineRule="auto"/>
              <w:ind w:left="6" w:firstLine="0"/>
              <w:jc w:val="center"/>
              <w:rPr>
                <w:sz w:val="18"/>
                <w:szCs w:val="18"/>
              </w:rPr>
            </w:pPr>
            <w:r w:rsidRPr="001E128B">
              <w:rPr>
                <w:b/>
                <w:sz w:val="18"/>
                <w:szCs w:val="18"/>
              </w:rPr>
              <w:t>Name of the field</w:t>
            </w:r>
          </w:p>
        </w:tc>
        <w:tc>
          <w:tcPr>
            <w:tcW w:w="4961" w:type="dxa"/>
            <w:tcBorders>
              <w:top w:val="single" w:sz="4" w:space="0" w:color="000000"/>
              <w:left w:val="single" w:sz="4" w:space="0" w:color="000000"/>
              <w:bottom w:val="single" w:sz="4" w:space="0" w:color="000000"/>
              <w:right w:val="single" w:sz="4" w:space="0" w:color="000000"/>
            </w:tcBorders>
          </w:tcPr>
          <w:p w14:paraId="2845C42C" w14:textId="08BF2DD8" w:rsidR="00325422" w:rsidRPr="001E128B" w:rsidRDefault="00B06052" w:rsidP="00883FAD">
            <w:pPr>
              <w:spacing w:after="0" w:line="276" w:lineRule="auto"/>
              <w:ind w:left="6" w:firstLine="0"/>
              <w:jc w:val="center"/>
              <w:rPr>
                <w:sz w:val="18"/>
                <w:szCs w:val="18"/>
              </w:rPr>
            </w:pPr>
            <w:r w:rsidRPr="001E128B">
              <w:rPr>
                <w:b/>
                <w:sz w:val="18"/>
                <w:szCs w:val="18"/>
              </w:rPr>
              <w:t>Content</w:t>
            </w:r>
            <w:r w:rsidR="00325422" w:rsidRPr="001E128B">
              <w:rPr>
                <w:b/>
                <w:sz w:val="18"/>
                <w:szCs w:val="18"/>
              </w:rPr>
              <w:t xml:space="preserve"> </w:t>
            </w:r>
          </w:p>
        </w:tc>
      </w:tr>
      <w:tr w:rsidR="00325422" w:rsidRPr="001E128B" w14:paraId="767625B7"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1E128B" w:rsidRDefault="00B06052" w:rsidP="004D621E">
            <w:pPr>
              <w:spacing w:after="0" w:line="276" w:lineRule="auto"/>
              <w:ind w:left="0" w:firstLine="0"/>
              <w:rPr>
                <w:sz w:val="18"/>
                <w:szCs w:val="18"/>
              </w:rPr>
            </w:pPr>
            <w:r w:rsidRPr="001E128B">
              <w:rPr>
                <w:sz w:val="18"/>
                <w:szCs w:val="18"/>
              </w:rPr>
              <w:t>Course title</w:t>
            </w:r>
          </w:p>
        </w:tc>
        <w:tc>
          <w:tcPr>
            <w:tcW w:w="4961" w:type="dxa"/>
            <w:tcBorders>
              <w:top w:val="single" w:sz="4" w:space="0" w:color="000000"/>
              <w:left w:val="single" w:sz="4" w:space="0" w:color="000000"/>
              <w:bottom w:val="single" w:sz="4" w:space="0" w:color="000000"/>
              <w:right w:val="single" w:sz="4" w:space="0" w:color="000000"/>
            </w:tcBorders>
          </w:tcPr>
          <w:p w14:paraId="7B01285B" w14:textId="5739FBF7" w:rsidR="00325422" w:rsidRPr="001E128B" w:rsidRDefault="00ED280F" w:rsidP="004D621E">
            <w:pPr>
              <w:spacing w:after="0" w:line="276" w:lineRule="auto"/>
              <w:ind w:left="1" w:firstLine="0"/>
              <w:rPr>
                <w:sz w:val="18"/>
                <w:szCs w:val="18"/>
              </w:rPr>
            </w:pPr>
            <w:r w:rsidRPr="001E128B">
              <w:rPr>
                <w:sz w:val="18"/>
                <w:szCs w:val="18"/>
              </w:rPr>
              <w:t>EU Market Law</w:t>
            </w:r>
          </w:p>
        </w:tc>
      </w:tr>
      <w:tr w:rsidR="00325422" w:rsidRPr="001E128B" w14:paraId="3EBB86AA"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1E128B" w:rsidRDefault="00B06052" w:rsidP="004D621E">
            <w:pPr>
              <w:spacing w:after="0" w:line="276" w:lineRule="auto"/>
              <w:ind w:left="0" w:firstLine="0"/>
              <w:rPr>
                <w:sz w:val="18"/>
                <w:szCs w:val="18"/>
              </w:rPr>
            </w:pPr>
            <w:r w:rsidRPr="001E128B">
              <w:rPr>
                <w:sz w:val="18"/>
                <w:szCs w:val="18"/>
              </w:rPr>
              <w:t>Organizational unit:</w:t>
            </w:r>
          </w:p>
        </w:tc>
        <w:tc>
          <w:tcPr>
            <w:tcW w:w="4961" w:type="dxa"/>
            <w:tcBorders>
              <w:top w:val="single" w:sz="4" w:space="0" w:color="000000"/>
              <w:left w:val="single" w:sz="4" w:space="0" w:color="000000"/>
              <w:bottom w:val="single" w:sz="4" w:space="0" w:color="000000"/>
              <w:right w:val="single" w:sz="4" w:space="0" w:color="000000"/>
            </w:tcBorders>
          </w:tcPr>
          <w:p w14:paraId="4C323F84" w14:textId="4CAE5685" w:rsidR="00325422" w:rsidRPr="001E128B" w:rsidRDefault="00ED280F" w:rsidP="004D621E">
            <w:pPr>
              <w:spacing w:after="0" w:line="276" w:lineRule="auto"/>
              <w:ind w:left="1" w:firstLine="0"/>
              <w:rPr>
                <w:sz w:val="18"/>
                <w:szCs w:val="18"/>
              </w:rPr>
            </w:pPr>
            <w:r w:rsidRPr="001E128B">
              <w:rPr>
                <w:b/>
                <w:bCs/>
                <w:color w:val="000000" w:themeColor="text1"/>
                <w:sz w:val="18"/>
                <w:szCs w:val="18"/>
                <w:highlight w:val="yellow"/>
              </w:rPr>
              <w:t>26000000</w:t>
            </w:r>
          </w:p>
        </w:tc>
      </w:tr>
      <w:tr w:rsidR="00325422" w:rsidRPr="00100408" w14:paraId="595A40A2" w14:textId="77777777" w:rsidTr="00100408">
        <w:trPr>
          <w:trHeight w:val="217"/>
        </w:trPr>
        <w:tc>
          <w:tcPr>
            <w:tcW w:w="4496"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1E128B" w:rsidRDefault="00B06052" w:rsidP="004D621E">
            <w:pPr>
              <w:spacing w:after="0" w:line="276" w:lineRule="auto"/>
              <w:ind w:left="0" w:firstLine="0"/>
              <w:rPr>
                <w:sz w:val="18"/>
                <w:szCs w:val="18"/>
                <w:lang w:val="en-GB"/>
              </w:rPr>
            </w:pPr>
            <w:r w:rsidRPr="001E128B">
              <w:rPr>
                <w:sz w:val="18"/>
                <w:szCs w:val="18"/>
                <w:lang w:val="en-GB"/>
              </w:rPr>
              <w:t>Organizational unit where the course is offered:</w:t>
            </w:r>
          </w:p>
        </w:tc>
        <w:tc>
          <w:tcPr>
            <w:tcW w:w="4961" w:type="dxa"/>
            <w:tcBorders>
              <w:top w:val="single" w:sz="4" w:space="0" w:color="000000"/>
              <w:left w:val="single" w:sz="4" w:space="0" w:color="000000"/>
              <w:bottom w:val="single" w:sz="4" w:space="0" w:color="000000"/>
              <w:right w:val="single" w:sz="4" w:space="0" w:color="000000"/>
            </w:tcBorders>
          </w:tcPr>
          <w:p w14:paraId="576F0687" w14:textId="77777777" w:rsidR="00325422" w:rsidRPr="001E128B" w:rsidRDefault="00325422" w:rsidP="004D621E">
            <w:pPr>
              <w:spacing w:after="0" w:line="276" w:lineRule="auto"/>
              <w:ind w:left="1" w:firstLine="0"/>
              <w:rPr>
                <w:sz w:val="18"/>
                <w:szCs w:val="18"/>
                <w:lang w:val="en-GB"/>
              </w:rPr>
            </w:pPr>
            <w:r w:rsidRPr="001E128B">
              <w:rPr>
                <w:sz w:val="18"/>
                <w:szCs w:val="18"/>
                <w:lang w:val="en-GB"/>
              </w:rPr>
              <w:t xml:space="preserve"> </w:t>
            </w:r>
          </w:p>
        </w:tc>
      </w:tr>
      <w:tr w:rsidR="00325422" w:rsidRPr="001E128B" w14:paraId="6E85B401" w14:textId="77777777" w:rsidTr="00100408">
        <w:trPr>
          <w:trHeight w:val="214"/>
        </w:trPr>
        <w:tc>
          <w:tcPr>
            <w:tcW w:w="449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1E128B" w:rsidRDefault="00B06052" w:rsidP="004D621E">
            <w:pPr>
              <w:spacing w:after="0" w:line="276" w:lineRule="auto"/>
              <w:ind w:left="0" w:firstLine="0"/>
              <w:rPr>
                <w:sz w:val="18"/>
                <w:szCs w:val="18"/>
              </w:rPr>
            </w:pPr>
            <w:r w:rsidRPr="001E128B">
              <w:rPr>
                <w:sz w:val="18"/>
                <w:szCs w:val="18"/>
              </w:rPr>
              <w:t>Course ID</w:t>
            </w:r>
          </w:p>
        </w:tc>
        <w:tc>
          <w:tcPr>
            <w:tcW w:w="4961"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3F6A33DB" w:rsidR="00325422" w:rsidRPr="001E128B" w:rsidRDefault="00325422" w:rsidP="004D621E">
            <w:pPr>
              <w:spacing w:after="0" w:line="276" w:lineRule="auto"/>
              <w:ind w:left="1" w:firstLine="0"/>
              <w:rPr>
                <w:sz w:val="18"/>
                <w:szCs w:val="18"/>
              </w:rPr>
            </w:pPr>
            <w:r w:rsidRPr="001E128B">
              <w:rPr>
                <w:sz w:val="18"/>
                <w:szCs w:val="18"/>
              </w:rPr>
              <w:t xml:space="preserve"> </w:t>
            </w:r>
            <w:r w:rsidR="00100408" w:rsidRPr="00100408">
              <w:rPr>
                <w:sz w:val="18"/>
                <w:szCs w:val="18"/>
              </w:rPr>
              <w:t>2600-IBP-EUML</w:t>
            </w:r>
          </w:p>
        </w:tc>
      </w:tr>
      <w:tr w:rsidR="00325422" w:rsidRPr="001E128B" w14:paraId="2A48BBA1" w14:textId="77777777" w:rsidTr="00100408">
        <w:trPr>
          <w:trHeight w:val="220"/>
        </w:trPr>
        <w:tc>
          <w:tcPr>
            <w:tcW w:w="4496"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1E128B" w:rsidRDefault="00B06052" w:rsidP="004D621E">
            <w:pPr>
              <w:spacing w:after="0" w:line="276" w:lineRule="auto"/>
              <w:ind w:left="0" w:firstLine="0"/>
              <w:rPr>
                <w:sz w:val="18"/>
                <w:szCs w:val="18"/>
              </w:rPr>
            </w:pPr>
            <w:r w:rsidRPr="001E128B">
              <w:rPr>
                <w:sz w:val="18"/>
                <w:szCs w:val="18"/>
              </w:rPr>
              <w:t>Erasmus code / ISCED</w:t>
            </w:r>
          </w:p>
        </w:tc>
        <w:tc>
          <w:tcPr>
            <w:tcW w:w="4961" w:type="dxa"/>
            <w:tcBorders>
              <w:top w:val="single" w:sz="4" w:space="0" w:color="000000"/>
              <w:left w:val="single" w:sz="4" w:space="0" w:color="000000"/>
              <w:bottom w:val="single" w:sz="4" w:space="0" w:color="000000"/>
              <w:right w:val="single" w:sz="4" w:space="0" w:color="000000"/>
            </w:tcBorders>
          </w:tcPr>
          <w:p w14:paraId="28F06B15" w14:textId="7D01F577" w:rsidR="00325422" w:rsidRPr="001E128B" w:rsidRDefault="00325422" w:rsidP="004D621E">
            <w:pPr>
              <w:spacing w:after="0" w:line="276" w:lineRule="auto"/>
              <w:ind w:left="1" w:firstLine="0"/>
              <w:rPr>
                <w:sz w:val="18"/>
                <w:szCs w:val="18"/>
              </w:rPr>
            </w:pPr>
            <w:r w:rsidRPr="001E128B">
              <w:rPr>
                <w:b/>
                <w:sz w:val="18"/>
                <w:szCs w:val="18"/>
              </w:rPr>
              <w:t xml:space="preserve"> </w:t>
            </w:r>
            <w:r w:rsidR="00ED280F" w:rsidRPr="001E128B">
              <w:rPr>
                <w:b/>
                <w:color w:val="000000" w:themeColor="text1"/>
                <w:sz w:val="18"/>
                <w:szCs w:val="18"/>
                <w:highlight w:val="yellow"/>
              </w:rPr>
              <w:t>04000</w:t>
            </w:r>
          </w:p>
        </w:tc>
      </w:tr>
      <w:tr w:rsidR="00325422" w:rsidRPr="001E128B" w14:paraId="16B1A5A9" w14:textId="77777777" w:rsidTr="00100408">
        <w:trPr>
          <w:trHeight w:val="215"/>
        </w:trPr>
        <w:tc>
          <w:tcPr>
            <w:tcW w:w="449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1E128B" w:rsidRDefault="00B06052" w:rsidP="004D621E">
            <w:pPr>
              <w:spacing w:after="0" w:line="276" w:lineRule="auto"/>
              <w:ind w:left="0" w:firstLine="0"/>
              <w:rPr>
                <w:sz w:val="18"/>
                <w:szCs w:val="18"/>
              </w:rPr>
            </w:pPr>
            <w:r w:rsidRPr="001E128B">
              <w:rPr>
                <w:sz w:val="18"/>
                <w:szCs w:val="18"/>
              </w:rPr>
              <w:t>Course groups</w:t>
            </w:r>
          </w:p>
        </w:tc>
        <w:tc>
          <w:tcPr>
            <w:tcW w:w="4961"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1E128B" w:rsidRDefault="00325422" w:rsidP="004D621E">
            <w:pPr>
              <w:spacing w:after="0" w:line="276" w:lineRule="auto"/>
              <w:ind w:left="1" w:firstLine="0"/>
              <w:rPr>
                <w:sz w:val="18"/>
                <w:szCs w:val="18"/>
              </w:rPr>
            </w:pPr>
            <w:r w:rsidRPr="001E128B">
              <w:rPr>
                <w:sz w:val="18"/>
                <w:szCs w:val="18"/>
              </w:rPr>
              <w:t xml:space="preserve"> </w:t>
            </w:r>
          </w:p>
        </w:tc>
      </w:tr>
      <w:tr w:rsidR="00325422" w:rsidRPr="001E128B" w14:paraId="25593A25" w14:textId="77777777" w:rsidTr="00100408">
        <w:trPr>
          <w:trHeight w:val="217"/>
        </w:trPr>
        <w:tc>
          <w:tcPr>
            <w:tcW w:w="4496"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1E128B" w:rsidRDefault="00B06052" w:rsidP="004D621E">
            <w:pPr>
              <w:spacing w:after="0" w:line="276" w:lineRule="auto"/>
              <w:ind w:left="0" w:firstLine="0"/>
              <w:rPr>
                <w:sz w:val="18"/>
                <w:szCs w:val="18"/>
                <w:lang w:val="en-GB"/>
              </w:rPr>
            </w:pPr>
            <w:r w:rsidRPr="001E128B">
              <w:rPr>
                <w:sz w:val="18"/>
                <w:szCs w:val="18"/>
                <w:lang w:val="en-GB"/>
              </w:rPr>
              <w:t>Period when the course is offered</w:t>
            </w:r>
            <w:r w:rsidR="00325422" w:rsidRPr="001E128B">
              <w:rPr>
                <w:sz w:val="18"/>
                <w:szCs w:val="18"/>
                <w:lang w:val="en-GB"/>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202829B" w14:textId="536B90FF" w:rsidR="00325422" w:rsidRPr="001E128B" w:rsidRDefault="00325422" w:rsidP="004D621E">
            <w:pPr>
              <w:spacing w:after="0" w:line="276" w:lineRule="auto"/>
              <w:ind w:left="1" w:firstLine="0"/>
              <w:rPr>
                <w:sz w:val="18"/>
                <w:szCs w:val="18"/>
                <w:lang w:val="en-GB"/>
              </w:rPr>
            </w:pPr>
            <w:r w:rsidRPr="001E128B">
              <w:rPr>
                <w:sz w:val="18"/>
                <w:szCs w:val="18"/>
                <w:lang w:val="en-GB"/>
              </w:rPr>
              <w:t xml:space="preserve"> </w:t>
            </w:r>
            <w:r w:rsidR="00ED280F" w:rsidRPr="001E128B">
              <w:rPr>
                <w:sz w:val="18"/>
                <w:szCs w:val="18"/>
                <w:lang w:val="en-GB"/>
              </w:rPr>
              <w:t>Summer semester 202</w:t>
            </w:r>
            <w:r w:rsidR="0085451B">
              <w:rPr>
                <w:sz w:val="18"/>
                <w:szCs w:val="18"/>
                <w:lang w:val="en-GB"/>
              </w:rPr>
              <w:t>4</w:t>
            </w:r>
            <w:r w:rsidR="00ED280F" w:rsidRPr="001E128B">
              <w:rPr>
                <w:sz w:val="18"/>
                <w:szCs w:val="18"/>
                <w:lang w:val="en-GB"/>
              </w:rPr>
              <w:t>/202</w:t>
            </w:r>
            <w:r w:rsidR="0085451B">
              <w:rPr>
                <w:sz w:val="18"/>
                <w:szCs w:val="18"/>
                <w:lang w:val="en-GB"/>
              </w:rPr>
              <w:t>5</w:t>
            </w:r>
          </w:p>
        </w:tc>
      </w:tr>
      <w:tr w:rsidR="00325422" w:rsidRPr="00100408" w14:paraId="16B3CC5B"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1E128B" w:rsidRDefault="00B06052" w:rsidP="004D621E">
            <w:pPr>
              <w:spacing w:after="0" w:line="276" w:lineRule="auto"/>
              <w:ind w:left="0" w:firstLine="0"/>
              <w:rPr>
                <w:sz w:val="18"/>
                <w:szCs w:val="18"/>
              </w:rPr>
            </w:pPr>
            <w:r w:rsidRPr="001E128B">
              <w:rPr>
                <w:sz w:val="18"/>
                <w:szCs w:val="18"/>
              </w:rPr>
              <w:t>Short description</w:t>
            </w:r>
          </w:p>
        </w:tc>
        <w:tc>
          <w:tcPr>
            <w:tcW w:w="4961" w:type="dxa"/>
            <w:tcBorders>
              <w:top w:val="single" w:sz="4" w:space="0" w:color="000000"/>
              <w:left w:val="single" w:sz="4" w:space="0" w:color="000000"/>
              <w:bottom w:val="single" w:sz="4" w:space="0" w:color="000000"/>
              <w:right w:val="single" w:sz="4" w:space="0" w:color="000000"/>
            </w:tcBorders>
          </w:tcPr>
          <w:p w14:paraId="208E85E8" w14:textId="10114528" w:rsidR="00325422" w:rsidRPr="001E128B" w:rsidRDefault="00ED280F" w:rsidP="004D621E">
            <w:pPr>
              <w:spacing w:after="0" w:line="276" w:lineRule="auto"/>
              <w:ind w:left="1" w:firstLine="0"/>
              <w:rPr>
                <w:sz w:val="18"/>
                <w:szCs w:val="18"/>
                <w:lang w:val="en-US"/>
              </w:rPr>
            </w:pPr>
            <w:r w:rsidRPr="001E128B">
              <w:rPr>
                <w:sz w:val="18"/>
                <w:szCs w:val="18"/>
                <w:lang w:val="en-US"/>
              </w:rPr>
              <w:t>The lecture provides knowledge on main elements of the substantive economic law of the European Union creating the legal basis for the European economic integration (Internal Market Law). The course will provide an opportunity to learn about the way in which the EU works: We will study the case law of the Court of Justice of the European Union and the EU’s legal acts. These materials will allow us to better understand the foundations on which the modern economy and politics are built, and, therefore, the economic and political reality we live in.</w:t>
            </w:r>
          </w:p>
        </w:tc>
      </w:tr>
      <w:tr w:rsidR="00325422" w:rsidRPr="001E128B" w14:paraId="6ABCC11F"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1E128B" w:rsidRDefault="00B06052" w:rsidP="004D621E">
            <w:pPr>
              <w:spacing w:after="0" w:line="276" w:lineRule="auto"/>
              <w:ind w:left="0" w:firstLine="0"/>
              <w:rPr>
                <w:sz w:val="18"/>
                <w:szCs w:val="18"/>
              </w:rPr>
            </w:pPr>
            <w:r w:rsidRPr="001E128B">
              <w:rPr>
                <w:sz w:val="18"/>
                <w:szCs w:val="18"/>
              </w:rPr>
              <w:t>Type of course:</w:t>
            </w:r>
          </w:p>
        </w:tc>
        <w:tc>
          <w:tcPr>
            <w:tcW w:w="4961" w:type="dxa"/>
            <w:tcBorders>
              <w:top w:val="single" w:sz="4" w:space="0" w:color="000000"/>
              <w:left w:val="single" w:sz="4" w:space="0" w:color="000000"/>
              <w:bottom w:val="single" w:sz="4" w:space="0" w:color="000000"/>
              <w:right w:val="single" w:sz="4" w:space="0" w:color="000000"/>
            </w:tcBorders>
          </w:tcPr>
          <w:p w14:paraId="242641F3" w14:textId="2165025B" w:rsidR="00325422" w:rsidRPr="001E128B" w:rsidRDefault="00ED280F" w:rsidP="004D621E">
            <w:pPr>
              <w:spacing w:after="0" w:line="276" w:lineRule="auto"/>
              <w:ind w:left="1" w:firstLine="0"/>
              <w:rPr>
                <w:sz w:val="18"/>
                <w:szCs w:val="18"/>
              </w:rPr>
            </w:pPr>
            <w:r w:rsidRPr="001E128B">
              <w:rPr>
                <w:sz w:val="18"/>
                <w:szCs w:val="18"/>
              </w:rPr>
              <w:t>lecture</w:t>
            </w:r>
          </w:p>
        </w:tc>
      </w:tr>
      <w:tr w:rsidR="00325422" w:rsidRPr="00100408" w14:paraId="6F2D4A9A"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1E128B" w:rsidRDefault="00B06052" w:rsidP="004D621E">
            <w:pPr>
              <w:spacing w:after="0" w:line="276" w:lineRule="auto"/>
              <w:ind w:left="0" w:firstLine="0"/>
              <w:rPr>
                <w:sz w:val="18"/>
                <w:szCs w:val="18"/>
              </w:rPr>
            </w:pPr>
            <w:r w:rsidRPr="001E128B">
              <w:rPr>
                <w:sz w:val="18"/>
                <w:szCs w:val="18"/>
              </w:rPr>
              <w:t>Full description</w:t>
            </w:r>
          </w:p>
        </w:tc>
        <w:tc>
          <w:tcPr>
            <w:tcW w:w="4961" w:type="dxa"/>
            <w:tcBorders>
              <w:top w:val="single" w:sz="4" w:space="0" w:color="000000"/>
              <w:left w:val="single" w:sz="4" w:space="0" w:color="000000"/>
              <w:bottom w:val="single" w:sz="4" w:space="0" w:color="000000"/>
              <w:right w:val="single" w:sz="4" w:space="0" w:color="000000"/>
            </w:tcBorders>
          </w:tcPr>
          <w:p w14:paraId="43938746" w14:textId="3CA14F34" w:rsidR="00ED280F" w:rsidRPr="001E128B" w:rsidRDefault="00ED280F" w:rsidP="00ED280F">
            <w:pPr>
              <w:ind w:left="0" w:hanging="2"/>
              <w:jc w:val="both"/>
              <w:rPr>
                <w:sz w:val="18"/>
                <w:szCs w:val="18"/>
                <w:lang w:val="en-US"/>
              </w:rPr>
            </w:pPr>
            <w:r w:rsidRPr="001E128B">
              <w:rPr>
                <w:sz w:val="18"/>
                <w:szCs w:val="18"/>
                <w:lang w:val="en-US"/>
              </w:rPr>
              <w:t>The lecture provides knowledge on the main elements of the substantive economic law of the European Union creating the legal basis for the European economic integration (Internal Market Law). Thus, we will discuss the following issues:</w:t>
            </w:r>
          </w:p>
          <w:p w14:paraId="0DB9645F" w14:textId="77777777" w:rsidR="00ED280F" w:rsidRPr="001E128B" w:rsidRDefault="00ED280F" w:rsidP="00ED280F">
            <w:pPr>
              <w:ind w:left="0" w:hanging="2"/>
              <w:jc w:val="both"/>
              <w:rPr>
                <w:sz w:val="18"/>
                <w:szCs w:val="18"/>
                <w:lang w:val="en-US"/>
              </w:rPr>
            </w:pPr>
          </w:p>
          <w:p w14:paraId="1C4C3F1F" w14:textId="77777777" w:rsidR="00ED280F" w:rsidRPr="001E128B" w:rsidRDefault="00ED280F" w:rsidP="00ED280F">
            <w:pPr>
              <w:ind w:left="0" w:hanging="2"/>
              <w:jc w:val="both"/>
              <w:rPr>
                <w:sz w:val="18"/>
                <w:szCs w:val="18"/>
                <w:lang w:val="en-US"/>
              </w:rPr>
            </w:pPr>
            <w:r w:rsidRPr="001E128B">
              <w:rPr>
                <w:sz w:val="18"/>
                <w:szCs w:val="18"/>
                <w:lang w:val="en-US"/>
              </w:rPr>
              <w:t>1. The introductory remarks on the EU’s legal system, e.g.: what are the EU’s institutions? What are the legal acts in EU law?</w:t>
            </w:r>
          </w:p>
          <w:p w14:paraId="341E3AFD" w14:textId="77777777" w:rsidR="00ED280F" w:rsidRPr="001E128B" w:rsidRDefault="00ED280F" w:rsidP="00ED280F">
            <w:pPr>
              <w:ind w:left="0" w:hanging="2"/>
              <w:jc w:val="both"/>
              <w:rPr>
                <w:sz w:val="18"/>
                <w:szCs w:val="18"/>
                <w:lang w:val="en-US"/>
              </w:rPr>
            </w:pPr>
            <w:r w:rsidRPr="001E128B">
              <w:rPr>
                <w:sz w:val="18"/>
                <w:szCs w:val="18"/>
                <w:lang w:val="en-US"/>
              </w:rPr>
              <w:t>2. The freedoms of movement in the EU:</w:t>
            </w:r>
          </w:p>
          <w:p w14:paraId="06C9D4A1" w14:textId="77777777" w:rsidR="00ED280F" w:rsidRPr="001E128B" w:rsidRDefault="00ED280F" w:rsidP="00ED280F">
            <w:pPr>
              <w:ind w:left="0" w:hanging="2"/>
              <w:jc w:val="both"/>
              <w:rPr>
                <w:sz w:val="18"/>
                <w:szCs w:val="18"/>
                <w:lang w:val="en-US"/>
              </w:rPr>
            </w:pPr>
            <w:r w:rsidRPr="001E128B">
              <w:rPr>
                <w:sz w:val="18"/>
                <w:szCs w:val="18"/>
                <w:lang w:val="en-US"/>
              </w:rPr>
              <w:t>- free movement of goods</w:t>
            </w:r>
          </w:p>
          <w:p w14:paraId="07EEDA5E" w14:textId="77777777" w:rsidR="00ED280F" w:rsidRPr="001E128B" w:rsidRDefault="00ED280F" w:rsidP="00ED280F">
            <w:pPr>
              <w:ind w:left="0" w:hanging="2"/>
              <w:jc w:val="both"/>
              <w:rPr>
                <w:sz w:val="18"/>
                <w:szCs w:val="18"/>
                <w:lang w:val="en-US"/>
              </w:rPr>
            </w:pPr>
            <w:r w:rsidRPr="001E128B">
              <w:rPr>
                <w:sz w:val="18"/>
                <w:szCs w:val="18"/>
                <w:lang w:val="en-US"/>
              </w:rPr>
              <w:t>- free movement of people</w:t>
            </w:r>
          </w:p>
          <w:p w14:paraId="713BEC43" w14:textId="77777777" w:rsidR="00ED280F" w:rsidRPr="001E128B" w:rsidRDefault="00ED280F" w:rsidP="00ED280F">
            <w:pPr>
              <w:ind w:left="0" w:hanging="2"/>
              <w:jc w:val="both"/>
              <w:rPr>
                <w:sz w:val="18"/>
                <w:szCs w:val="18"/>
                <w:lang w:val="en-US"/>
              </w:rPr>
            </w:pPr>
            <w:r w:rsidRPr="001E128B">
              <w:rPr>
                <w:sz w:val="18"/>
                <w:szCs w:val="18"/>
                <w:lang w:val="en-US"/>
              </w:rPr>
              <w:t>- free movement of services</w:t>
            </w:r>
          </w:p>
          <w:p w14:paraId="22E3B550" w14:textId="77777777" w:rsidR="00ED280F" w:rsidRPr="001E128B" w:rsidRDefault="00ED280F" w:rsidP="00ED280F">
            <w:pPr>
              <w:ind w:left="0" w:hanging="2"/>
              <w:jc w:val="both"/>
              <w:rPr>
                <w:sz w:val="18"/>
                <w:szCs w:val="18"/>
                <w:lang w:val="en-US"/>
              </w:rPr>
            </w:pPr>
            <w:r w:rsidRPr="001E128B">
              <w:rPr>
                <w:sz w:val="18"/>
                <w:szCs w:val="18"/>
                <w:lang w:val="en-US"/>
              </w:rPr>
              <w:t>- freedom of establishment</w:t>
            </w:r>
          </w:p>
          <w:p w14:paraId="14AF71FE" w14:textId="77777777" w:rsidR="00ED280F" w:rsidRPr="001E128B" w:rsidRDefault="00ED280F" w:rsidP="00ED280F">
            <w:pPr>
              <w:ind w:left="0" w:hanging="2"/>
              <w:jc w:val="both"/>
              <w:rPr>
                <w:sz w:val="18"/>
                <w:szCs w:val="18"/>
                <w:lang w:val="en-US"/>
              </w:rPr>
            </w:pPr>
            <w:r w:rsidRPr="001E128B">
              <w:rPr>
                <w:sz w:val="18"/>
                <w:szCs w:val="18"/>
                <w:lang w:val="en-US"/>
              </w:rPr>
              <w:t>- free movement of capital</w:t>
            </w:r>
          </w:p>
          <w:p w14:paraId="29B4CC08" w14:textId="77777777" w:rsidR="00ED280F" w:rsidRPr="001E128B" w:rsidRDefault="00ED280F" w:rsidP="00ED280F">
            <w:pPr>
              <w:ind w:left="0" w:hanging="2"/>
              <w:jc w:val="both"/>
              <w:rPr>
                <w:sz w:val="18"/>
                <w:szCs w:val="18"/>
                <w:lang w:val="en-US"/>
              </w:rPr>
            </w:pPr>
            <w:r w:rsidRPr="001E128B">
              <w:rPr>
                <w:sz w:val="18"/>
                <w:szCs w:val="18"/>
                <w:lang w:val="en-US"/>
              </w:rPr>
              <w:t>3. The examples of the areas in which the EU harmonized certain policies: e-commerce and copyright law.</w:t>
            </w:r>
          </w:p>
          <w:p w14:paraId="18040F92" w14:textId="77777777" w:rsidR="00ED280F" w:rsidRPr="001E128B" w:rsidRDefault="00ED280F" w:rsidP="00ED280F">
            <w:pPr>
              <w:ind w:left="0" w:hanging="2"/>
              <w:jc w:val="both"/>
              <w:rPr>
                <w:sz w:val="18"/>
                <w:szCs w:val="18"/>
                <w:lang w:val="en-US"/>
              </w:rPr>
            </w:pPr>
          </w:p>
          <w:p w14:paraId="3243D41E" w14:textId="6ED62482" w:rsidR="00325422" w:rsidRPr="001E128B" w:rsidRDefault="00ED280F" w:rsidP="00ED280F">
            <w:pPr>
              <w:spacing w:after="0" w:line="276" w:lineRule="auto"/>
              <w:ind w:left="1" w:firstLine="0"/>
              <w:rPr>
                <w:sz w:val="18"/>
                <w:szCs w:val="18"/>
                <w:lang w:val="en-US"/>
              </w:rPr>
            </w:pPr>
            <w:r w:rsidRPr="001E128B">
              <w:rPr>
                <w:sz w:val="18"/>
                <w:szCs w:val="18"/>
                <w:lang w:val="en-US"/>
              </w:rPr>
              <w:t>The course will provide an opportunity to learn about the way in which the EU works. We will study the case law of the Court of Justice of the European Union and the EU’s legal acts. These materials will allow us to better understand the foundations on which the modern economy and politics are built, and, therefore, the economic and political reality we live in.</w:t>
            </w:r>
          </w:p>
        </w:tc>
      </w:tr>
      <w:tr w:rsidR="00325422" w:rsidRPr="001E128B" w14:paraId="0EC178B4" w14:textId="77777777" w:rsidTr="00100408">
        <w:trPr>
          <w:trHeight w:val="216"/>
        </w:trPr>
        <w:tc>
          <w:tcPr>
            <w:tcW w:w="1493"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1E128B" w:rsidRDefault="00B06052" w:rsidP="004D621E">
            <w:pPr>
              <w:spacing w:after="0" w:line="276" w:lineRule="auto"/>
              <w:ind w:left="0" w:firstLine="0"/>
              <w:rPr>
                <w:sz w:val="18"/>
                <w:szCs w:val="18"/>
              </w:rPr>
            </w:pPr>
            <w:r w:rsidRPr="001E128B">
              <w:rPr>
                <w:sz w:val="18"/>
                <w:szCs w:val="18"/>
              </w:rPr>
              <w:t>Prerequisites</w:t>
            </w:r>
          </w:p>
        </w:tc>
        <w:tc>
          <w:tcPr>
            <w:tcW w:w="3003" w:type="dxa"/>
            <w:tcBorders>
              <w:top w:val="single" w:sz="4" w:space="0" w:color="000000"/>
              <w:left w:val="single" w:sz="4" w:space="0" w:color="000000"/>
              <w:bottom w:val="single" w:sz="4" w:space="0" w:color="000000"/>
              <w:right w:val="single" w:sz="4" w:space="0" w:color="000000"/>
            </w:tcBorders>
          </w:tcPr>
          <w:p w14:paraId="415CCCBA" w14:textId="2D5D04D8" w:rsidR="00325422" w:rsidRPr="001E128B" w:rsidRDefault="00B06052" w:rsidP="004D621E">
            <w:pPr>
              <w:spacing w:after="0" w:line="276" w:lineRule="auto"/>
              <w:ind w:left="2" w:firstLine="0"/>
              <w:rPr>
                <w:sz w:val="18"/>
                <w:szCs w:val="18"/>
              </w:rPr>
            </w:pPr>
            <w:r w:rsidRPr="001E128B">
              <w:rPr>
                <w:sz w:val="18"/>
                <w:szCs w:val="18"/>
              </w:rPr>
              <w:t>Formal</w:t>
            </w:r>
            <w:r w:rsidR="00325422" w:rsidRPr="001E128B">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026E239" w14:textId="14E6BBEE" w:rsidR="00325422" w:rsidRPr="001E128B" w:rsidRDefault="00ED280F" w:rsidP="004D621E">
            <w:pPr>
              <w:spacing w:after="0" w:line="276" w:lineRule="auto"/>
              <w:ind w:left="1" w:firstLine="0"/>
              <w:rPr>
                <w:sz w:val="18"/>
                <w:szCs w:val="18"/>
              </w:rPr>
            </w:pPr>
            <w:r w:rsidRPr="001E128B">
              <w:rPr>
                <w:sz w:val="18"/>
                <w:szCs w:val="18"/>
              </w:rPr>
              <w:t>None</w:t>
            </w:r>
          </w:p>
        </w:tc>
      </w:tr>
      <w:tr w:rsidR="00325422" w:rsidRPr="001E128B" w14:paraId="38B55437" w14:textId="77777777" w:rsidTr="00100408">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1E128B" w:rsidRDefault="00325422" w:rsidP="004D621E">
            <w:pPr>
              <w:spacing w:after="160" w:line="276" w:lineRule="auto"/>
              <w:ind w:left="0" w:firstLine="0"/>
              <w:rPr>
                <w:sz w:val="18"/>
                <w:szCs w:val="18"/>
              </w:rPr>
            </w:pPr>
          </w:p>
        </w:tc>
        <w:tc>
          <w:tcPr>
            <w:tcW w:w="3003" w:type="dxa"/>
            <w:tcBorders>
              <w:top w:val="single" w:sz="4" w:space="0" w:color="000000"/>
              <w:left w:val="single" w:sz="4" w:space="0" w:color="000000"/>
              <w:bottom w:val="single" w:sz="4" w:space="0" w:color="000000"/>
              <w:right w:val="single" w:sz="4" w:space="0" w:color="000000"/>
            </w:tcBorders>
          </w:tcPr>
          <w:p w14:paraId="532E0153" w14:textId="5E44FFE0" w:rsidR="00325422" w:rsidRPr="001E128B" w:rsidRDefault="00B06052" w:rsidP="004D621E">
            <w:pPr>
              <w:spacing w:after="0" w:line="276" w:lineRule="auto"/>
              <w:ind w:left="2" w:firstLine="0"/>
              <w:rPr>
                <w:sz w:val="18"/>
                <w:szCs w:val="18"/>
              </w:rPr>
            </w:pPr>
            <w:r w:rsidRPr="001E128B">
              <w:rPr>
                <w:sz w:val="18"/>
                <w:szCs w:val="18"/>
              </w:rPr>
              <w:t>Initial</w:t>
            </w:r>
            <w:r w:rsidR="00325422" w:rsidRPr="001E128B">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6F5A485" w14:textId="7C8A9540" w:rsidR="00325422" w:rsidRPr="001E128B" w:rsidRDefault="00ED280F" w:rsidP="004D621E">
            <w:pPr>
              <w:spacing w:after="0" w:line="276" w:lineRule="auto"/>
              <w:ind w:left="1" w:firstLine="0"/>
              <w:rPr>
                <w:sz w:val="18"/>
                <w:szCs w:val="18"/>
              </w:rPr>
            </w:pPr>
            <w:r w:rsidRPr="001E128B">
              <w:rPr>
                <w:sz w:val="18"/>
                <w:szCs w:val="18"/>
              </w:rPr>
              <w:t>English (B2)</w:t>
            </w:r>
          </w:p>
        </w:tc>
      </w:tr>
      <w:tr w:rsidR="00325422" w:rsidRPr="00100408" w14:paraId="191612E4"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1E128B" w:rsidRDefault="00B06052" w:rsidP="004D621E">
            <w:pPr>
              <w:spacing w:after="0" w:line="276" w:lineRule="auto"/>
              <w:ind w:left="0" w:firstLine="0"/>
              <w:rPr>
                <w:sz w:val="18"/>
                <w:szCs w:val="18"/>
              </w:rPr>
            </w:pPr>
            <w:r w:rsidRPr="001E128B">
              <w:rPr>
                <w:sz w:val="18"/>
                <w:szCs w:val="18"/>
              </w:rPr>
              <w:t>Learning outcomes</w:t>
            </w:r>
          </w:p>
        </w:tc>
        <w:tc>
          <w:tcPr>
            <w:tcW w:w="4961" w:type="dxa"/>
            <w:tcBorders>
              <w:top w:val="single" w:sz="4" w:space="0" w:color="000000"/>
              <w:left w:val="single" w:sz="4" w:space="0" w:color="000000"/>
              <w:bottom w:val="single" w:sz="4" w:space="0" w:color="000000"/>
              <w:right w:val="single" w:sz="4" w:space="0" w:color="000000"/>
            </w:tcBorders>
          </w:tcPr>
          <w:p w14:paraId="71A3F4F8" w14:textId="0DC58480" w:rsidR="001E128B" w:rsidRPr="001E128B" w:rsidRDefault="00325422" w:rsidP="001E128B">
            <w:pPr>
              <w:spacing w:after="0" w:line="276" w:lineRule="auto"/>
              <w:ind w:left="1" w:firstLine="0"/>
              <w:rPr>
                <w:sz w:val="18"/>
                <w:szCs w:val="18"/>
                <w:lang w:val="en-US"/>
              </w:rPr>
            </w:pPr>
            <w:r w:rsidRPr="001E128B">
              <w:rPr>
                <w:sz w:val="18"/>
                <w:szCs w:val="18"/>
                <w:lang w:val="en-US"/>
              </w:rPr>
              <w:t xml:space="preserve"> </w:t>
            </w:r>
            <w:r w:rsidR="001E128B" w:rsidRPr="001E128B">
              <w:rPr>
                <w:sz w:val="18"/>
                <w:szCs w:val="18"/>
                <w:lang w:val="en-US"/>
              </w:rPr>
              <w:t>K_W01 (Know</w:t>
            </w:r>
            <w:r w:rsidR="001E128B">
              <w:rPr>
                <w:sz w:val="18"/>
                <w:szCs w:val="18"/>
                <w:lang w:val="en-US"/>
              </w:rPr>
              <w:t>ledge and in-depth</w:t>
            </w:r>
            <w:r w:rsidR="001E128B" w:rsidRPr="001E128B">
              <w:rPr>
                <w:sz w:val="18"/>
                <w:szCs w:val="18"/>
                <w:lang w:val="en-US"/>
              </w:rPr>
              <w:t xml:space="preserve"> understand</w:t>
            </w:r>
            <w:r w:rsidR="001E128B">
              <w:rPr>
                <w:sz w:val="18"/>
                <w:szCs w:val="18"/>
                <w:lang w:val="en-US"/>
              </w:rPr>
              <w:t>ing of the</w:t>
            </w:r>
            <w:r w:rsidR="001E128B" w:rsidRPr="001E128B">
              <w:rPr>
                <w:sz w:val="18"/>
                <w:szCs w:val="18"/>
                <w:lang w:val="en-US"/>
              </w:rPr>
              <w:t xml:space="preserve"> research methodology and terminology in the field of management and quality </w:t>
            </w:r>
            <w:r w:rsidR="001E128B">
              <w:rPr>
                <w:sz w:val="18"/>
                <w:szCs w:val="18"/>
                <w:lang w:val="en-US"/>
              </w:rPr>
              <w:t xml:space="preserve">discipline </w:t>
            </w:r>
            <w:r w:rsidR="001E128B" w:rsidRPr="001E128B">
              <w:rPr>
                <w:sz w:val="18"/>
                <w:szCs w:val="18"/>
                <w:lang w:val="en-US"/>
              </w:rPr>
              <w:t>and in complementary disciplines (economics and finance, legal sciences))</w:t>
            </w:r>
          </w:p>
          <w:p w14:paraId="39F9B858" w14:textId="49430AE1" w:rsidR="001E128B" w:rsidRPr="001E128B" w:rsidRDefault="001E128B" w:rsidP="001E128B">
            <w:pPr>
              <w:spacing w:after="0" w:line="276" w:lineRule="auto"/>
              <w:ind w:left="1" w:firstLine="0"/>
              <w:rPr>
                <w:sz w:val="18"/>
                <w:szCs w:val="18"/>
                <w:lang w:val="en-US"/>
              </w:rPr>
            </w:pPr>
            <w:r w:rsidRPr="001E128B">
              <w:rPr>
                <w:sz w:val="18"/>
                <w:szCs w:val="18"/>
                <w:lang w:val="en-US"/>
              </w:rPr>
              <w:t>K_W04 (Know</w:t>
            </w:r>
            <w:r>
              <w:rPr>
                <w:sz w:val="18"/>
                <w:szCs w:val="18"/>
                <w:lang w:val="en-US"/>
              </w:rPr>
              <w:t>ledge and in-depth understanding of</w:t>
            </w:r>
            <w:r w:rsidRPr="001E128B">
              <w:rPr>
                <w:sz w:val="18"/>
                <w:szCs w:val="18"/>
                <w:lang w:val="en-US"/>
              </w:rPr>
              <w:t xml:space="preserve"> legal regulations regarding the functioning of the organization and the entire economy)</w:t>
            </w:r>
          </w:p>
          <w:p w14:paraId="3C21D153" w14:textId="60776BF3" w:rsidR="001E128B" w:rsidRPr="001E128B" w:rsidRDefault="001E128B" w:rsidP="001E128B">
            <w:pPr>
              <w:spacing w:after="0" w:line="276" w:lineRule="auto"/>
              <w:ind w:left="1" w:firstLine="0"/>
              <w:rPr>
                <w:sz w:val="18"/>
                <w:szCs w:val="18"/>
                <w:lang w:val="en-US"/>
              </w:rPr>
            </w:pPr>
            <w:r w:rsidRPr="001E128B">
              <w:rPr>
                <w:sz w:val="18"/>
                <w:szCs w:val="18"/>
                <w:lang w:val="en-US"/>
              </w:rPr>
              <w:t>K_W05 (Know</w:t>
            </w:r>
            <w:r>
              <w:rPr>
                <w:sz w:val="18"/>
                <w:szCs w:val="18"/>
                <w:lang w:val="en-US"/>
              </w:rPr>
              <w:t>ledge and understanding of the</w:t>
            </w:r>
            <w:r w:rsidRPr="001E128B">
              <w:rPr>
                <w:sz w:val="18"/>
                <w:szCs w:val="18"/>
                <w:lang w:val="en-US"/>
              </w:rPr>
              <w:t xml:space="preserve"> complex technological, social, political, legal, economic and ecological processes and phenomena and their impact on </w:t>
            </w:r>
            <w:r w:rsidRPr="001E128B">
              <w:rPr>
                <w:sz w:val="18"/>
                <w:szCs w:val="18"/>
                <w:lang w:val="en-US"/>
              </w:rPr>
              <w:lastRenderedPageBreak/>
              <w:t>the functioning of the organization and the entire economy, including the principles of industrial property and copyright protection);</w:t>
            </w:r>
          </w:p>
          <w:p w14:paraId="78683052" w14:textId="48605FC0" w:rsidR="001E128B" w:rsidRPr="001E128B" w:rsidRDefault="001E128B" w:rsidP="001E128B">
            <w:pPr>
              <w:spacing w:after="0" w:line="276" w:lineRule="auto"/>
              <w:ind w:left="1" w:firstLine="0"/>
              <w:rPr>
                <w:sz w:val="18"/>
                <w:szCs w:val="18"/>
                <w:lang w:val="en-US"/>
              </w:rPr>
            </w:pPr>
            <w:r w:rsidRPr="001E128B">
              <w:rPr>
                <w:sz w:val="18"/>
                <w:szCs w:val="18"/>
                <w:lang w:val="en-US"/>
              </w:rPr>
              <w:t>K_U02 (</w:t>
            </w:r>
            <w:r>
              <w:rPr>
                <w:sz w:val="18"/>
                <w:szCs w:val="18"/>
                <w:lang w:val="en-US"/>
              </w:rPr>
              <w:t>Being</w:t>
            </w:r>
            <w:r w:rsidRPr="001E128B">
              <w:rPr>
                <w:sz w:val="18"/>
                <w:szCs w:val="18"/>
                <w:lang w:val="en-US"/>
              </w:rPr>
              <w:t xml:space="preserve"> able to correctly interpret complex technological, social, political, legal, economic and ecological processes and phenomena and their impact on the functioning of the organization and the entire economy, using the appropriate selection of sources)</w:t>
            </w:r>
          </w:p>
          <w:p w14:paraId="21F397DF" w14:textId="5012AB74" w:rsidR="00325422" w:rsidRPr="001E128B" w:rsidRDefault="001E128B" w:rsidP="001E128B">
            <w:pPr>
              <w:spacing w:after="0" w:line="276" w:lineRule="auto"/>
              <w:ind w:left="1" w:firstLine="0"/>
              <w:rPr>
                <w:sz w:val="18"/>
                <w:szCs w:val="18"/>
                <w:lang w:val="en-US"/>
              </w:rPr>
            </w:pPr>
            <w:r w:rsidRPr="001E128B">
              <w:rPr>
                <w:sz w:val="18"/>
                <w:szCs w:val="18"/>
                <w:lang w:val="en-US"/>
              </w:rPr>
              <w:t>K_K01 (Ready to assess and critically approach complex situations and phenomena related to the functioning of the organization, sector and the entire economy.)</w:t>
            </w:r>
          </w:p>
        </w:tc>
      </w:tr>
      <w:tr w:rsidR="00325422" w:rsidRPr="001E128B" w14:paraId="5A99F7C7"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1E128B" w:rsidRDefault="00B06052" w:rsidP="004D621E">
            <w:pPr>
              <w:spacing w:after="0" w:line="276" w:lineRule="auto"/>
              <w:ind w:left="0" w:firstLine="0"/>
              <w:rPr>
                <w:sz w:val="18"/>
                <w:szCs w:val="18"/>
                <w:lang w:val="en-GB"/>
              </w:rPr>
            </w:pPr>
            <w:r w:rsidRPr="001E128B">
              <w:rPr>
                <w:sz w:val="18"/>
                <w:szCs w:val="18"/>
                <w:lang w:val="en-GB"/>
              </w:rPr>
              <w:lastRenderedPageBreak/>
              <w:t>ECTS credit allocation (and other scores)</w:t>
            </w:r>
          </w:p>
        </w:tc>
        <w:tc>
          <w:tcPr>
            <w:tcW w:w="4961" w:type="dxa"/>
            <w:tcBorders>
              <w:top w:val="single" w:sz="4" w:space="0" w:color="000000"/>
              <w:left w:val="single" w:sz="4" w:space="0" w:color="000000"/>
              <w:bottom w:val="single" w:sz="4" w:space="0" w:color="000000"/>
              <w:right w:val="single" w:sz="4" w:space="0" w:color="000000"/>
            </w:tcBorders>
          </w:tcPr>
          <w:p w14:paraId="5DC7F1F4" w14:textId="344617E0" w:rsidR="00325422" w:rsidRPr="001E128B" w:rsidRDefault="00325422" w:rsidP="004D621E">
            <w:pPr>
              <w:spacing w:after="0" w:line="276" w:lineRule="auto"/>
              <w:ind w:left="1" w:firstLine="0"/>
              <w:rPr>
                <w:sz w:val="18"/>
                <w:szCs w:val="18"/>
                <w:lang w:val="en-GB"/>
              </w:rPr>
            </w:pPr>
            <w:r w:rsidRPr="001E128B">
              <w:rPr>
                <w:sz w:val="18"/>
                <w:szCs w:val="18"/>
                <w:lang w:val="en-GB"/>
              </w:rPr>
              <w:t xml:space="preserve"> </w:t>
            </w:r>
            <w:r w:rsidR="001E128B">
              <w:rPr>
                <w:sz w:val="18"/>
                <w:szCs w:val="18"/>
                <w:lang w:val="en-GB"/>
              </w:rPr>
              <w:t>4</w:t>
            </w:r>
          </w:p>
        </w:tc>
      </w:tr>
      <w:tr w:rsidR="00325422" w:rsidRPr="00100408" w14:paraId="301969D1"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1E128B" w:rsidRDefault="00B06052" w:rsidP="004D621E">
            <w:pPr>
              <w:spacing w:after="0" w:line="276" w:lineRule="auto"/>
              <w:ind w:left="0" w:firstLine="0"/>
              <w:rPr>
                <w:sz w:val="18"/>
                <w:szCs w:val="18"/>
                <w:lang w:val="en-GB"/>
              </w:rPr>
            </w:pPr>
            <w:r w:rsidRPr="001E128B">
              <w:rPr>
                <w:sz w:val="18"/>
                <w:szCs w:val="18"/>
                <w:lang w:val="en-GB"/>
              </w:rPr>
              <w:t>Assessment methods and assessment criteria</w:t>
            </w:r>
          </w:p>
        </w:tc>
        <w:tc>
          <w:tcPr>
            <w:tcW w:w="4961" w:type="dxa"/>
            <w:tcBorders>
              <w:top w:val="single" w:sz="4" w:space="0" w:color="000000"/>
              <w:left w:val="single" w:sz="4" w:space="0" w:color="000000"/>
              <w:bottom w:val="single" w:sz="4" w:space="0" w:color="000000"/>
              <w:right w:val="single" w:sz="4" w:space="0" w:color="000000"/>
            </w:tcBorders>
          </w:tcPr>
          <w:p w14:paraId="694C5302" w14:textId="2E10CE47" w:rsidR="00325422" w:rsidRPr="00D97876" w:rsidRDefault="00D97876" w:rsidP="00D97876">
            <w:pPr>
              <w:ind w:left="0" w:hanging="2"/>
              <w:jc w:val="both"/>
              <w:rPr>
                <w:color w:val="008000"/>
                <w:sz w:val="18"/>
                <w:szCs w:val="18"/>
                <w:lang w:val="en-US"/>
              </w:rPr>
            </w:pPr>
            <w:r w:rsidRPr="005A2FF8">
              <w:rPr>
                <w:sz w:val="18"/>
                <w:szCs w:val="18"/>
                <w:lang w:val="en-US"/>
              </w:rPr>
              <w:t>Active participation in the lessons and final written exam</w:t>
            </w:r>
            <w:r>
              <w:rPr>
                <w:sz w:val="18"/>
                <w:szCs w:val="18"/>
                <w:lang w:val="en-US"/>
              </w:rPr>
              <w:t xml:space="preserve"> (test, more than 50% of correct answers is necessary for passing).</w:t>
            </w:r>
          </w:p>
        </w:tc>
      </w:tr>
      <w:tr w:rsidR="00325422" w:rsidRPr="001E128B" w14:paraId="212A23E1"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1E128B" w:rsidRDefault="00B06052" w:rsidP="004D621E">
            <w:pPr>
              <w:spacing w:after="0" w:line="276" w:lineRule="auto"/>
              <w:ind w:left="0" w:firstLine="0"/>
              <w:rPr>
                <w:sz w:val="18"/>
                <w:szCs w:val="18"/>
              </w:rPr>
            </w:pPr>
            <w:r w:rsidRPr="001E128B">
              <w:rPr>
                <w:sz w:val="18"/>
                <w:szCs w:val="18"/>
              </w:rPr>
              <w:t>Examination</w:t>
            </w:r>
            <w:r w:rsidR="00325422" w:rsidRPr="001E128B">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1D77180" w14:textId="6F6F20EB" w:rsidR="00325422" w:rsidRPr="001E128B" w:rsidRDefault="00D97876" w:rsidP="00D97876">
            <w:pPr>
              <w:spacing w:after="0" w:line="276" w:lineRule="auto"/>
              <w:ind w:left="0" w:firstLine="0"/>
              <w:rPr>
                <w:sz w:val="18"/>
                <w:szCs w:val="18"/>
              </w:rPr>
            </w:pPr>
            <w:r>
              <w:rPr>
                <w:sz w:val="18"/>
                <w:szCs w:val="18"/>
              </w:rPr>
              <w:t>exam</w:t>
            </w:r>
          </w:p>
        </w:tc>
      </w:tr>
      <w:tr w:rsidR="00325422" w:rsidRPr="001E128B" w14:paraId="073565A4"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1E128B" w:rsidRDefault="00B06052" w:rsidP="004D621E">
            <w:pPr>
              <w:spacing w:after="0" w:line="276" w:lineRule="auto"/>
              <w:ind w:left="0" w:firstLine="0"/>
              <w:rPr>
                <w:sz w:val="18"/>
                <w:szCs w:val="18"/>
              </w:rPr>
            </w:pPr>
            <w:r w:rsidRPr="001E128B">
              <w:rPr>
                <w:sz w:val="18"/>
                <w:szCs w:val="18"/>
              </w:rPr>
              <w:t>Type of class</w:t>
            </w:r>
          </w:p>
        </w:tc>
        <w:tc>
          <w:tcPr>
            <w:tcW w:w="4961" w:type="dxa"/>
            <w:tcBorders>
              <w:top w:val="single" w:sz="4" w:space="0" w:color="000000"/>
              <w:left w:val="single" w:sz="4" w:space="0" w:color="000000"/>
              <w:bottom w:val="single" w:sz="4" w:space="0" w:color="000000"/>
              <w:right w:val="single" w:sz="4" w:space="0" w:color="000000"/>
            </w:tcBorders>
          </w:tcPr>
          <w:p w14:paraId="21E5C7F9" w14:textId="552A8D82" w:rsidR="00325422" w:rsidRPr="001E128B" w:rsidRDefault="009403F5" w:rsidP="00D97876">
            <w:pPr>
              <w:spacing w:after="0" w:line="276" w:lineRule="auto"/>
              <w:rPr>
                <w:sz w:val="18"/>
                <w:szCs w:val="18"/>
              </w:rPr>
            </w:pPr>
            <w:r>
              <w:rPr>
                <w:sz w:val="18"/>
                <w:szCs w:val="18"/>
              </w:rPr>
              <w:t>obligatory</w:t>
            </w:r>
          </w:p>
        </w:tc>
      </w:tr>
      <w:tr w:rsidR="00325422" w:rsidRPr="001E128B" w14:paraId="4A326BB5"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1E128B" w:rsidRDefault="00325422" w:rsidP="004D621E">
            <w:pPr>
              <w:spacing w:after="0" w:line="276" w:lineRule="auto"/>
              <w:ind w:left="0" w:firstLine="0"/>
              <w:rPr>
                <w:sz w:val="18"/>
                <w:szCs w:val="18"/>
              </w:rPr>
            </w:pPr>
            <w:r w:rsidRPr="001E128B">
              <w:rPr>
                <w:sz w:val="18"/>
                <w:szCs w:val="18"/>
              </w:rPr>
              <w:t xml:space="preserve">Sposób realizacji przedmiotu </w:t>
            </w:r>
          </w:p>
        </w:tc>
        <w:tc>
          <w:tcPr>
            <w:tcW w:w="4961" w:type="dxa"/>
            <w:tcBorders>
              <w:top w:val="single" w:sz="4" w:space="0" w:color="000000"/>
              <w:left w:val="single" w:sz="4" w:space="0" w:color="000000"/>
              <w:bottom w:val="single" w:sz="4" w:space="0" w:color="000000"/>
              <w:right w:val="single" w:sz="4" w:space="0" w:color="000000"/>
            </w:tcBorders>
          </w:tcPr>
          <w:p w14:paraId="6E9E4E65" w14:textId="3FFEDC0D" w:rsidR="00325422" w:rsidRPr="001E128B" w:rsidRDefault="009403F5" w:rsidP="004D621E">
            <w:pPr>
              <w:spacing w:after="0" w:line="276" w:lineRule="auto"/>
              <w:ind w:left="1" w:firstLine="0"/>
              <w:rPr>
                <w:sz w:val="18"/>
                <w:szCs w:val="18"/>
              </w:rPr>
            </w:pPr>
            <w:r>
              <w:rPr>
                <w:sz w:val="18"/>
                <w:szCs w:val="18"/>
              </w:rPr>
              <w:t>classroom</w:t>
            </w:r>
          </w:p>
        </w:tc>
      </w:tr>
      <w:tr w:rsidR="00325422" w:rsidRPr="001E128B" w14:paraId="422AC647"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1E128B" w:rsidRDefault="00B06052" w:rsidP="004D621E">
            <w:pPr>
              <w:spacing w:after="0" w:line="276" w:lineRule="auto"/>
              <w:ind w:left="0" w:firstLine="0"/>
              <w:rPr>
                <w:sz w:val="18"/>
                <w:szCs w:val="18"/>
              </w:rPr>
            </w:pPr>
            <w:r w:rsidRPr="001E128B">
              <w:rPr>
                <w:sz w:val="18"/>
                <w:szCs w:val="18"/>
              </w:rPr>
              <w:t>Language</w:t>
            </w:r>
            <w:r w:rsidR="00325422" w:rsidRPr="001E128B">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362B9CCA" w14:textId="2D2AC274" w:rsidR="00325422" w:rsidRPr="001E128B" w:rsidRDefault="009403F5" w:rsidP="004D621E">
            <w:pPr>
              <w:spacing w:after="0" w:line="276" w:lineRule="auto"/>
              <w:ind w:left="1" w:firstLine="0"/>
              <w:rPr>
                <w:sz w:val="18"/>
                <w:szCs w:val="18"/>
              </w:rPr>
            </w:pPr>
            <w:r>
              <w:rPr>
                <w:sz w:val="18"/>
                <w:szCs w:val="18"/>
              </w:rPr>
              <w:t>English</w:t>
            </w:r>
          </w:p>
        </w:tc>
      </w:tr>
      <w:tr w:rsidR="00325422" w:rsidRPr="001E128B" w14:paraId="62160E67"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1E128B" w:rsidRDefault="00B06052" w:rsidP="004D621E">
            <w:pPr>
              <w:spacing w:after="0" w:line="276" w:lineRule="auto"/>
              <w:ind w:left="0" w:firstLine="0"/>
              <w:rPr>
                <w:sz w:val="18"/>
                <w:szCs w:val="18"/>
              </w:rPr>
            </w:pPr>
            <w:r w:rsidRPr="001E128B">
              <w:rPr>
                <w:sz w:val="18"/>
                <w:szCs w:val="18"/>
              </w:rPr>
              <w:t>Bibliography</w:t>
            </w:r>
          </w:p>
        </w:tc>
        <w:tc>
          <w:tcPr>
            <w:tcW w:w="4961" w:type="dxa"/>
            <w:tcBorders>
              <w:top w:val="single" w:sz="4" w:space="0" w:color="000000"/>
              <w:left w:val="single" w:sz="4" w:space="0" w:color="000000"/>
              <w:bottom w:val="single" w:sz="4" w:space="0" w:color="000000"/>
              <w:right w:val="single" w:sz="4" w:space="0" w:color="000000"/>
            </w:tcBorders>
          </w:tcPr>
          <w:p w14:paraId="7D89D955" w14:textId="77777777" w:rsidR="009403F5" w:rsidRPr="005A2FF8" w:rsidRDefault="009403F5" w:rsidP="009403F5">
            <w:pPr>
              <w:ind w:left="0" w:hanging="2"/>
              <w:jc w:val="both"/>
              <w:rPr>
                <w:sz w:val="18"/>
                <w:szCs w:val="18"/>
                <w:lang w:val="en-US"/>
              </w:rPr>
            </w:pPr>
            <w:r w:rsidRPr="005A2FF8">
              <w:rPr>
                <w:sz w:val="18"/>
                <w:szCs w:val="18"/>
                <w:u w:val="single"/>
                <w:lang w:val="en-US"/>
              </w:rPr>
              <w:t>Obligatory reading</w:t>
            </w:r>
            <w:r w:rsidRPr="005A2FF8">
              <w:rPr>
                <w:sz w:val="18"/>
                <w:szCs w:val="18"/>
                <w:lang w:val="en-US"/>
              </w:rPr>
              <w:t>:</w:t>
            </w:r>
          </w:p>
          <w:p w14:paraId="2C639860" w14:textId="3015B3DE" w:rsidR="009403F5" w:rsidRPr="005A2FF8" w:rsidRDefault="009403F5" w:rsidP="009403F5">
            <w:pPr>
              <w:ind w:left="0" w:hanging="2"/>
              <w:jc w:val="both"/>
              <w:rPr>
                <w:sz w:val="18"/>
                <w:szCs w:val="18"/>
                <w:lang w:val="en-US"/>
              </w:rPr>
            </w:pPr>
            <w:r w:rsidRPr="005A2FF8">
              <w:rPr>
                <w:sz w:val="18"/>
                <w:szCs w:val="18"/>
                <w:lang w:val="en-US"/>
              </w:rPr>
              <w:t xml:space="preserve">1. G. Bermann, R. Goebel, W. Davey, E. Fox, </w:t>
            </w:r>
            <w:r w:rsidRPr="005A2FF8">
              <w:rPr>
                <w:i/>
                <w:sz w:val="18"/>
                <w:szCs w:val="18"/>
                <w:lang w:val="en-US"/>
              </w:rPr>
              <w:t>Cases and Materials on European Union Law</w:t>
            </w:r>
            <w:r w:rsidRPr="005A2FF8">
              <w:rPr>
                <w:sz w:val="18"/>
                <w:szCs w:val="18"/>
                <w:lang w:val="en-US"/>
              </w:rPr>
              <w:t>, 3d Edition, Thomson Reuters 2011</w:t>
            </w:r>
            <w:r>
              <w:rPr>
                <w:sz w:val="18"/>
                <w:szCs w:val="18"/>
                <w:lang w:val="en-US"/>
              </w:rPr>
              <w:t xml:space="preserve"> (and the following editions)</w:t>
            </w:r>
          </w:p>
          <w:p w14:paraId="03D97684" w14:textId="77777777" w:rsidR="009403F5" w:rsidRPr="005A2FF8" w:rsidRDefault="009403F5" w:rsidP="009403F5">
            <w:pPr>
              <w:ind w:left="0" w:hanging="2"/>
              <w:jc w:val="both"/>
              <w:rPr>
                <w:sz w:val="18"/>
                <w:szCs w:val="18"/>
                <w:lang w:val="en-US"/>
              </w:rPr>
            </w:pPr>
          </w:p>
          <w:p w14:paraId="48A45F0C" w14:textId="77777777" w:rsidR="009403F5" w:rsidRPr="005A2FF8" w:rsidRDefault="009403F5" w:rsidP="009403F5">
            <w:pPr>
              <w:ind w:left="0" w:hanging="2"/>
              <w:jc w:val="both"/>
              <w:rPr>
                <w:sz w:val="18"/>
                <w:szCs w:val="18"/>
                <w:lang w:val="en-US"/>
              </w:rPr>
            </w:pPr>
            <w:r w:rsidRPr="005A2FF8">
              <w:rPr>
                <w:sz w:val="18"/>
                <w:szCs w:val="18"/>
                <w:lang w:val="en-US"/>
              </w:rPr>
              <w:t>2. CJEU judgements or European Commission’s decisions as well as other materials from the instructors</w:t>
            </w:r>
          </w:p>
          <w:p w14:paraId="64DF38EE" w14:textId="77777777" w:rsidR="009403F5" w:rsidRPr="005A2FF8" w:rsidRDefault="009403F5" w:rsidP="009403F5">
            <w:pPr>
              <w:ind w:left="0" w:hanging="2"/>
              <w:jc w:val="both"/>
              <w:rPr>
                <w:sz w:val="18"/>
                <w:szCs w:val="18"/>
                <w:lang w:val="en-US"/>
              </w:rPr>
            </w:pPr>
          </w:p>
          <w:p w14:paraId="6298000A" w14:textId="77777777" w:rsidR="009403F5" w:rsidRPr="005A2FF8" w:rsidRDefault="009403F5" w:rsidP="009403F5">
            <w:pPr>
              <w:ind w:left="0" w:hanging="2"/>
              <w:jc w:val="both"/>
              <w:rPr>
                <w:sz w:val="18"/>
                <w:szCs w:val="18"/>
                <w:lang w:val="en-US"/>
              </w:rPr>
            </w:pPr>
            <w:r w:rsidRPr="005A2FF8">
              <w:rPr>
                <w:sz w:val="18"/>
                <w:szCs w:val="18"/>
                <w:lang w:val="en-US"/>
              </w:rPr>
              <w:t>Obligatory materials will be available at Kampus platform.</w:t>
            </w:r>
          </w:p>
          <w:p w14:paraId="7C4669F4" w14:textId="77777777" w:rsidR="009403F5" w:rsidRPr="005A2FF8" w:rsidRDefault="009403F5" w:rsidP="009403F5">
            <w:pPr>
              <w:ind w:left="0" w:hanging="2"/>
              <w:jc w:val="both"/>
              <w:rPr>
                <w:sz w:val="18"/>
                <w:szCs w:val="18"/>
                <w:lang w:val="en-US"/>
              </w:rPr>
            </w:pPr>
          </w:p>
          <w:p w14:paraId="345BAC2E" w14:textId="77777777" w:rsidR="009403F5" w:rsidRPr="005A2FF8" w:rsidRDefault="009403F5" w:rsidP="009403F5">
            <w:pPr>
              <w:ind w:left="0" w:hanging="2"/>
              <w:jc w:val="both"/>
              <w:rPr>
                <w:sz w:val="18"/>
                <w:szCs w:val="18"/>
                <w:lang w:val="en-US"/>
              </w:rPr>
            </w:pPr>
            <w:r w:rsidRPr="005A2FF8">
              <w:rPr>
                <w:sz w:val="18"/>
                <w:szCs w:val="18"/>
                <w:lang w:val="en-US"/>
              </w:rPr>
              <w:t>Materials are only for use for classes. Further dissemination is prohibited.</w:t>
            </w:r>
          </w:p>
          <w:p w14:paraId="3BE921F9" w14:textId="77777777" w:rsidR="009403F5" w:rsidRPr="005A2FF8" w:rsidRDefault="009403F5" w:rsidP="009403F5">
            <w:pPr>
              <w:ind w:left="0" w:hanging="2"/>
              <w:jc w:val="both"/>
              <w:rPr>
                <w:sz w:val="18"/>
                <w:szCs w:val="18"/>
                <w:u w:val="single"/>
                <w:lang w:val="en-US"/>
              </w:rPr>
            </w:pPr>
          </w:p>
          <w:p w14:paraId="79C92F4F" w14:textId="77777777" w:rsidR="009403F5" w:rsidRPr="005A2FF8" w:rsidRDefault="009403F5" w:rsidP="009403F5">
            <w:pPr>
              <w:ind w:left="0" w:hanging="2"/>
              <w:jc w:val="both"/>
              <w:rPr>
                <w:sz w:val="18"/>
                <w:szCs w:val="18"/>
                <w:lang w:val="en-US"/>
              </w:rPr>
            </w:pPr>
            <w:r w:rsidRPr="005A2FF8">
              <w:rPr>
                <w:sz w:val="18"/>
                <w:szCs w:val="18"/>
                <w:u w:val="single"/>
                <w:lang w:val="en-US"/>
              </w:rPr>
              <w:t>Further Reading</w:t>
            </w:r>
            <w:r w:rsidRPr="005A2FF8">
              <w:rPr>
                <w:sz w:val="18"/>
                <w:szCs w:val="18"/>
                <w:lang w:val="en-US"/>
              </w:rPr>
              <w:t>:</w:t>
            </w:r>
          </w:p>
          <w:p w14:paraId="3628F272" w14:textId="77777777" w:rsidR="009403F5" w:rsidRPr="005A2FF8" w:rsidRDefault="009403F5" w:rsidP="009403F5">
            <w:pPr>
              <w:ind w:left="0" w:hanging="2"/>
              <w:jc w:val="both"/>
              <w:rPr>
                <w:sz w:val="18"/>
                <w:szCs w:val="18"/>
                <w:lang w:val="en-US"/>
              </w:rPr>
            </w:pPr>
            <w:r w:rsidRPr="005A2FF8">
              <w:rPr>
                <w:sz w:val="18"/>
                <w:szCs w:val="18"/>
                <w:lang w:val="en-US"/>
              </w:rPr>
              <w:t xml:space="preserve">C. Barnard, </w:t>
            </w:r>
            <w:r w:rsidRPr="005A2FF8">
              <w:rPr>
                <w:i/>
                <w:sz w:val="18"/>
                <w:szCs w:val="18"/>
                <w:lang w:val="en-US"/>
              </w:rPr>
              <w:t>The Substantive Law of the EU: The Four Freedoms</w:t>
            </w:r>
            <w:r w:rsidRPr="005A2FF8">
              <w:rPr>
                <w:sz w:val="18"/>
                <w:szCs w:val="18"/>
                <w:lang w:val="en-US"/>
              </w:rPr>
              <w:t>, Oxford 2013</w:t>
            </w:r>
          </w:p>
          <w:p w14:paraId="5BE9C5EC" w14:textId="77777777" w:rsidR="009403F5" w:rsidRPr="005A2FF8" w:rsidRDefault="009403F5" w:rsidP="009403F5">
            <w:pPr>
              <w:ind w:left="0" w:hanging="2"/>
              <w:jc w:val="both"/>
              <w:rPr>
                <w:sz w:val="18"/>
                <w:szCs w:val="18"/>
                <w:lang w:val="en-US"/>
              </w:rPr>
            </w:pPr>
          </w:p>
          <w:p w14:paraId="325AC5A7" w14:textId="77777777" w:rsidR="009403F5" w:rsidRPr="005A2FF8" w:rsidRDefault="009403F5" w:rsidP="009403F5">
            <w:pPr>
              <w:ind w:left="0" w:hanging="2"/>
              <w:jc w:val="both"/>
              <w:rPr>
                <w:sz w:val="18"/>
                <w:szCs w:val="18"/>
                <w:u w:val="single"/>
                <w:lang w:val="en-US"/>
              </w:rPr>
            </w:pPr>
          </w:p>
          <w:p w14:paraId="5F5D661E" w14:textId="77777777" w:rsidR="009403F5" w:rsidRPr="005A2FF8" w:rsidRDefault="009403F5" w:rsidP="009403F5">
            <w:pPr>
              <w:ind w:left="0" w:hanging="2"/>
              <w:jc w:val="both"/>
              <w:rPr>
                <w:sz w:val="18"/>
                <w:szCs w:val="18"/>
                <w:lang w:val="en-US"/>
              </w:rPr>
            </w:pPr>
            <w:r w:rsidRPr="005A2FF8">
              <w:rPr>
                <w:sz w:val="18"/>
                <w:szCs w:val="18"/>
                <w:u w:val="single"/>
                <w:lang w:val="en-US"/>
              </w:rPr>
              <w:t>Further reading for Polish speaking students</w:t>
            </w:r>
            <w:r w:rsidRPr="005A2FF8">
              <w:rPr>
                <w:sz w:val="18"/>
                <w:szCs w:val="18"/>
                <w:lang w:val="en-US"/>
              </w:rPr>
              <w:t>:</w:t>
            </w:r>
          </w:p>
          <w:p w14:paraId="1D236D8F" w14:textId="77777777" w:rsidR="009403F5" w:rsidRDefault="009403F5" w:rsidP="009403F5">
            <w:pPr>
              <w:ind w:left="0" w:hanging="2"/>
              <w:jc w:val="both"/>
              <w:rPr>
                <w:sz w:val="18"/>
                <w:szCs w:val="18"/>
              </w:rPr>
            </w:pPr>
            <w:r>
              <w:rPr>
                <w:i/>
                <w:sz w:val="18"/>
                <w:szCs w:val="18"/>
              </w:rPr>
              <w:t>Prawo materialne Unii Europejskiej. Swobodny przepływ towarów, osób usług i kapitału. Podstawy prawa konkurencji</w:t>
            </w:r>
            <w:r>
              <w:rPr>
                <w:sz w:val="18"/>
                <w:szCs w:val="18"/>
              </w:rPr>
              <w:t>. (eds.) A. Zawidzka-Łojek, R. Grzeszczak, Vademecum, Instytut Wydawniczy EuroPrawo, ed. 3, Warszawa 2013 (and the following editions).</w:t>
            </w:r>
          </w:p>
          <w:p w14:paraId="2FD6E4D8" w14:textId="77777777" w:rsidR="00325422" w:rsidRPr="001E128B" w:rsidRDefault="00325422" w:rsidP="009403F5">
            <w:pPr>
              <w:spacing w:after="0" w:line="276" w:lineRule="auto"/>
              <w:rPr>
                <w:sz w:val="18"/>
                <w:szCs w:val="18"/>
              </w:rPr>
            </w:pPr>
            <w:r w:rsidRPr="001E128B">
              <w:rPr>
                <w:i/>
                <w:color w:val="007F00"/>
                <w:sz w:val="18"/>
                <w:szCs w:val="18"/>
              </w:rPr>
              <w:t xml:space="preserve"> </w:t>
            </w:r>
          </w:p>
        </w:tc>
      </w:tr>
      <w:tr w:rsidR="00325422" w:rsidRPr="00100408" w14:paraId="2FAEF6D3"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1E128B" w:rsidRDefault="00B06052" w:rsidP="004D621E">
            <w:pPr>
              <w:spacing w:after="0" w:line="276" w:lineRule="auto"/>
              <w:ind w:left="0" w:firstLine="0"/>
              <w:rPr>
                <w:sz w:val="18"/>
                <w:szCs w:val="18"/>
                <w:lang w:val="en-GB"/>
              </w:rPr>
            </w:pPr>
            <w:r w:rsidRPr="001E128B">
              <w:rPr>
                <w:sz w:val="18"/>
                <w:szCs w:val="18"/>
                <w:lang w:val="en-GB"/>
              </w:rPr>
              <w:t>Internship as part of the course</w:t>
            </w:r>
            <w:r w:rsidR="00325422" w:rsidRPr="001E128B">
              <w:rPr>
                <w:sz w:val="18"/>
                <w:szCs w:val="18"/>
                <w:lang w:val="en-GB"/>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9DF1ED6" w14:textId="4DE5EB46" w:rsidR="00325422" w:rsidRPr="001E128B" w:rsidRDefault="00B31DEE" w:rsidP="004D621E">
            <w:pPr>
              <w:spacing w:after="0" w:line="276" w:lineRule="auto"/>
              <w:ind w:left="1" w:firstLine="0"/>
              <w:rPr>
                <w:sz w:val="18"/>
                <w:szCs w:val="18"/>
                <w:lang w:val="en-GB"/>
              </w:rPr>
            </w:pPr>
            <w:r>
              <w:rPr>
                <w:b/>
                <w:bCs/>
                <w:sz w:val="18"/>
                <w:szCs w:val="18"/>
                <w:highlight w:val="yellow"/>
                <w:lang w:val="en-US"/>
              </w:rPr>
              <w:t>I</w:t>
            </w:r>
            <w:r w:rsidRPr="001730B2">
              <w:rPr>
                <w:b/>
                <w:bCs/>
                <w:sz w:val="18"/>
                <w:szCs w:val="18"/>
                <w:highlight w:val="yellow"/>
                <w:lang w:val="en-US"/>
              </w:rPr>
              <w:t>nternship is not required as a part of the course</w:t>
            </w:r>
          </w:p>
        </w:tc>
      </w:tr>
      <w:tr w:rsidR="00325422" w:rsidRPr="001E128B" w14:paraId="37BB6CB8"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1E128B" w:rsidRDefault="00B06052" w:rsidP="004D621E">
            <w:pPr>
              <w:spacing w:after="0" w:line="276" w:lineRule="auto"/>
              <w:ind w:left="0" w:firstLine="0"/>
              <w:rPr>
                <w:sz w:val="18"/>
                <w:szCs w:val="18"/>
              </w:rPr>
            </w:pPr>
            <w:r w:rsidRPr="001E128B">
              <w:rPr>
                <w:sz w:val="18"/>
                <w:szCs w:val="18"/>
              </w:rPr>
              <w:t>Coordinators</w:t>
            </w:r>
          </w:p>
        </w:tc>
        <w:tc>
          <w:tcPr>
            <w:tcW w:w="4961" w:type="dxa"/>
            <w:tcBorders>
              <w:top w:val="single" w:sz="4" w:space="0" w:color="000000"/>
              <w:left w:val="single" w:sz="4" w:space="0" w:color="000000"/>
              <w:bottom w:val="single" w:sz="4" w:space="0" w:color="000000"/>
              <w:right w:val="single" w:sz="4" w:space="0" w:color="000000"/>
            </w:tcBorders>
          </w:tcPr>
          <w:p w14:paraId="382327D2" w14:textId="089A33A3" w:rsidR="00325422" w:rsidRPr="001E128B" w:rsidRDefault="003E3597" w:rsidP="00564358">
            <w:pPr>
              <w:spacing w:after="0" w:line="276" w:lineRule="auto"/>
              <w:rPr>
                <w:sz w:val="18"/>
                <w:szCs w:val="18"/>
              </w:rPr>
            </w:pPr>
            <w:r>
              <w:rPr>
                <w:bCs/>
                <w:sz w:val="18"/>
                <w:szCs w:val="18"/>
              </w:rPr>
              <w:t>Maciej Bernatt</w:t>
            </w:r>
          </w:p>
        </w:tc>
      </w:tr>
      <w:tr w:rsidR="00325422" w:rsidRPr="001E128B" w14:paraId="4282D8D7" w14:textId="77777777" w:rsidTr="00100408">
        <w:trPr>
          <w:trHeight w:val="216"/>
        </w:trPr>
        <w:tc>
          <w:tcPr>
            <w:tcW w:w="4496"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1E128B" w:rsidRDefault="00B06052" w:rsidP="004D621E">
            <w:pPr>
              <w:spacing w:after="0" w:line="276" w:lineRule="auto"/>
              <w:ind w:left="0" w:firstLine="0"/>
              <w:rPr>
                <w:sz w:val="18"/>
                <w:szCs w:val="18"/>
              </w:rPr>
            </w:pPr>
            <w:r w:rsidRPr="001E128B">
              <w:rPr>
                <w:sz w:val="18"/>
                <w:szCs w:val="18"/>
              </w:rPr>
              <w:t>Group instructors</w:t>
            </w:r>
          </w:p>
        </w:tc>
        <w:tc>
          <w:tcPr>
            <w:tcW w:w="4961" w:type="dxa"/>
            <w:tcBorders>
              <w:top w:val="single" w:sz="4" w:space="0" w:color="000000"/>
              <w:left w:val="single" w:sz="4" w:space="0" w:color="000000"/>
              <w:bottom w:val="single" w:sz="4" w:space="0" w:color="000000"/>
              <w:right w:val="single" w:sz="4" w:space="0" w:color="000000"/>
            </w:tcBorders>
          </w:tcPr>
          <w:p w14:paraId="4D179779" w14:textId="0CBF5B0C" w:rsidR="00564358" w:rsidRDefault="0085451B" w:rsidP="00564358">
            <w:pPr>
              <w:spacing w:after="0" w:line="276" w:lineRule="auto"/>
              <w:rPr>
                <w:bCs/>
                <w:sz w:val="18"/>
                <w:szCs w:val="18"/>
              </w:rPr>
            </w:pPr>
            <w:r>
              <w:rPr>
                <w:bCs/>
                <w:sz w:val="18"/>
                <w:szCs w:val="18"/>
              </w:rPr>
              <w:t>Marta Sznajder</w:t>
            </w:r>
          </w:p>
          <w:p w14:paraId="2DCD92BB" w14:textId="123D19E8" w:rsidR="00325422" w:rsidRPr="00564358" w:rsidRDefault="00564358" w:rsidP="00564358">
            <w:pPr>
              <w:spacing w:after="0" w:line="276" w:lineRule="auto"/>
              <w:rPr>
                <w:bCs/>
                <w:sz w:val="18"/>
                <w:szCs w:val="18"/>
              </w:rPr>
            </w:pPr>
            <w:r>
              <w:rPr>
                <w:bCs/>
                <w:sz w:val="18"/>
                <w:szCs w:val="18"/>
              </w:rPr>
              <w:t>Joanna Mazur</w:t>
            </w:r>
          </w:p>
        </w:tc>
      </w:tr>
      <w:tr w:rsidR="00325422" w:rsidRPr="001E128B" w14:paraId="7631AEA4" w14:textId="77777777" w:rsidTr="00100408">
        <w:trPr>
          <w:trHeight w:val="218"/>
        </w:trPr>
        <w:tc>
          <w:tcPr>
            <w:tcW w:w="4496"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1E128B" w:rsidRDefault="00B06052" w:rsidP="004D621E">
            <w:pPr>
              <w:spacing w:after="0" w:line="276" w:lineRule="auto"/>
              <w:ind w:left="0" w:firstLine="0"/>
              <w:rPr>
                <w:sz w:val="18"/>
                <w:szCs w:val="18"/>
              </w:rPr>
            </w:pPr>
            <w:r w:rsidRPr="001E128B">
              <w:rPr>
                <w:sz w:val="18"/>
                <w:szCs w:val="18"/>
              </w:rPr>
              <w:t>Notes</w:t>
            </w:r>
            <w:r w:rsidR="00325422" w:rsidRPr="001E128B">
              <w:rPr>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3C5CC0C" w14:textId="77777777" w:rsidR="00325422" w:rsidRPr="001E128B" w:rsidRDefault="00325422" w:rsidP="004D621E">
            <w:pPr>
              <w:spacing w:after="0" w:line="276" w:lineRule="auto"/>
              <w:ind w:left="361" w:firstLine="0"/>
              <w:rPr>
                <w:sz w:val="18"/>
                <w:szCs w:val="18"/>
              </w:rPr>
            </w:pPr>
            <w:r w:rsidRPr="001E128B">
              <w:rPr>
                <w:sz w:val="18"/>
                <w:szCs w:val="18"/>
              </w:rPr>
              <w:t xml:space="preserve"> </w:t>
            </w:r>
          </w:p>
        </w:tc>
      </w:tr>
    </w:tbl>
    <w:p w14:paraId="6B05B1F3" w14:textId="77777777" w:rsidR="00325422" w:rsidRPr="001E128B" w:rsidRDefault="00325422" w:rsidP="00325422">
      <w:pPr>
        <w:spacing w:after="0" w:line="276" w:lineRule="auto"/>
        <w:ind w:left="0" w:firstLine="0"/>
        <w:rPr>
          <w:sz w:val="18"/>
          <w:szCs w:val="18"/>
        </w:rPr>
      </w:pPr>
      <w:r w:rsidRPr="001E128B">
        <w:rPr>
          <w:sz w:val="18"/>
          <w:szCs w:val="18"/>
        </w:rPr>
        <w:t xml:space="preserve"> </w:t>
      </w:r>
    </w:p>
    <w:p w14:paraId="5488B887" w14:textId="07DEC347" w:rsidR="00325422" w:rsidRPr="001E128B" w:rsidRDefault="00325422" w:rsidP="00325422">
      <w:pPr>
        <w:spacing w:after="0" w:line="276" w:lineRule="auto"/>
        <w:ind w:left="-5"/>
        <w:rPr>
          <w:sz w:val="18"/>
          <w:szCs w:val="18"/>
        </w:rPr>
      </w:pPr>
      <w:r w:rsidRPr="001E128B">
        <w:rPr>
          <w:b/>
          <w:sz w:val="18"/>
          <w:szCs w:val="18"/>
        </w:rPr>
        <w:t xml:space="preserve">B. </w:t>
      </w:r>
      <w:r w:rsidR="00B06052" w:rsidRPr="001E128B">
        <w:rPr>
          <w:b/>
          <w:sz w:val="18"/>
          <w:szCs w:val="18"/>
        </w:rPr>
        <w:t>Detailed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4496"/>
        <w:gridCol w:w="4968"/>
      </w:tblGrid>
      <w:tr w:rsidR="00B06052" w:rsidRPr="001E128B" w14:paraId="6704B5BB"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1C1BF99F" w14:textId="3C18347A" w:rsidR="00B06052" w:rsidRPr="001E128B" w:rsidRDefault="00B06052" w:rsidP="00B06052">
            <w:pPr>
              <w:spacing w:after="0" w:line="276" w:lineRule="auto"/>
              <w:ind w:left="4" w:firstLine="0"/>
              <w:jc w:val="center"/>
              <w:rPr>
                <w:sz w:val="18"/>
                <w:szCs w:val="18"/>
              </w:rPr>
            </w:pPr>
            <w:r w:rsidRPr="001E128B">
              <w:rPr>
                <w:b/>
                <w:sz w:val="18"/>
                <w:szCs w:val="18"/>
              </w:rPr>
              <w:t>Name of the field</w:t>
            </w:r>
          </w:p>
        </w:tc>
        <w:tc>
          <w:tcPr>
            <w:tcW w:w="4968" w:type="dxa"/>
            <w:tcBorders>
              <w:top w:val="single" w:sz="4" w:space="0" w:color="000000"/>
              <w:left w:val="single" w:sz="4" w:space="0" w:color="000000"/>
              <w:bottom w:val="single" w:sz="4" w:space="0" w:color="000000"/>
              <w:right w:val="single" w:sz="4" w:space="0" w:color="000000"/>
            </w:tcBorders>
          </w:tcPr>
          <w:p w14:paraId="784415C9" w14:textId="6BDF1212" w:rsidR="00B06052" w:rsidRPr="001E128B" w:rsidRDefault="00B06052" w:rsidP="00B06052">
            <w:pPr>
              <w:spacing w:after="0" w:line="276" w:lineRule="auto"/>
              <w:ind w:left="8" w:firstLine="0"/>
              <w:jc w:val="center"/>
              <w:rPr>
                <w:sz w:val="18"/>
                <w:szCs w:val="18"/>
              </w:rPr>
            </w:pPr>
            <w:r w:rsidRPr="001E128B">
              <w:rPr>
                <w:b/>
                <w:sz w:val="18"/>
                <w:szCs w:val="18"/>
              </w:rPr>
              <w:t xml:space="preserve">Content </w:t>
            </w:r>
          </w:p>
        </w:tc>
      </w:tr>
      <w:tr w:rsidR="00325422" w:rsidRPr="001E128B" w14:paraId="4AF71237" w14:textId="77777777" w:rsidTr="002D6C5B">
        <w:trPr>
          <w:trHeight w:val="218"/>
        </w:trPr>
        <w:tc>
          <w:tcPr>
            <w:tcW w:w="4496" w:type="dxa"/>
            <w:tcBorders>
              <w:top w:val="single" w:sz="4" w:space="0" w:color="000000"/>
              <w:left w:val="single" w:sz="4" w:space="0" w:color="000000"/>
              <w:bottom w:val="single" w:sz="4" w:space="0" w:color="000000"/>
              <w:right w:val="single" w:sz="4" w:space="0" w:color="000000"/>
            </w:tcBorders>
          </w:tcPr>
          <w:p w14:paraId="3ABCAE8F" w14:textId="4F18F3FE" w:rsidR="00325422" w:rsidRPr="001E128B" w:rsidRDefault="00B06052" w:rsidP="00883FAD">
            <w:pPr>
              <w:spacing w:after="0" w:line="276" w:lineRule="auto"/>
              <w:ind w:left="0" w:firstLine="0"/>
              <w:rPr>
                <w:sz w:val="18"/>
                <w:szCs w:val="18"/>
              </w:rPr>
            </w:pPr>
            <w:r w:rsidRPr="001E128B">
              <w:rPr>
                <w:sz w:val="18"/>
                <w:szCs w:val="18"/>
              </w:rPr>
              <w:t>Group instructors:</w:t>
            </w:r>
          </w:p>
        </w:tc>
        <w:tc>
          <w:tcPr>
            <w:tcW w:w="4968" w:type="dxa"/>
            <w:tcBorders>
              <w:top w:val="single" w:sz="4" w:space="0" w:color="000000"/>
              <w:left w:val="single" w:sz="4" w:space="0" w:color="000000"/>
              <w:bottom w:val="single" w:sz="4" w:space="0" w:color="000000"/>
              <w:right w:val="single" w:sz="4" w:space="0" w:color="000000"/>
            </w:tcBorders>
          </w:tcPr>
          <w:p w14:paraId="31215863" w14:textId="08C0FF8B" w:rsidR="00564358" w:rsidRDefault="0085451B" w:rsidP="00564358">
            <w:pPr>
              <w:spacing w:after="0" w:line="276" w:lineRule="auto"/>
              <w:rPr>
                <w:bCs/>
                <w:sz w:val="18"/>
                <w:szCs w:val="18"/>
              </w:rPr>
            </w:pPr>
            <w:r>
              <w:rPr>
                <w:bCs/>
                <w:sz w:val="18"/>
                <w:szCs w:val="18"/>
              </w:rPr>
              <w:t>Marta Sznajder</w:t>
            </w:r>
          </w:p>
          <w:p w14:paraId="738185CE" w14:textId="674894D8" w:rsidR="00325422" w:rsidRPr="001E128B" w:rsidRDefault="00564358" w:rsidP="00564358">
            <w:pPr>
              <w:spacing w:after="0" w:line="276" w:lineRule="auto"/>
              <w:ind w:left="1" w:firstLine="0"/>
              <w:rPr>
                <w:sz w:val="18"/>
                <w:szCs w:val="18"/>
              </w:rPr>
            </w:pPr>
            <w:r>
              <w:rPr>
                <w:bCs/>
                <w:sz w:val="18"/>
                <w:szCs w:val="18"/>
              </w:rPr>
              <w:t>Joanna Mazur</w:t>
            </w:r>
          </w:p>
        </w:tc>
      </w:tr>
      <w:tr w:rsidR="00325422" w:rsidRPr="001E128B" w14:paraId="4868B4FC"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0382B4DB" w14:textId="707C1652" w:rsidR="00325422" w:rsidRPr="001E128B" w:rsidRDefault="00B06052" w:rsidP="00883FAD">
            <w:pPr>
              <w:spacing w:after="0" w:line="276" w:lineRule="auto"/>
              <w:ind w:left="0" w:firstLine="0"/>
              <w:rPr>
                <w:sz w:val="18"/>
                <w:szCs w:val="18"/>
              </w:rPr>
            </w:pPr>
            <w:r w:rsidRPr="001E128B">
              <w:rPr>
                <w:sz w:val="18"/>
                <w:szCs w:val="18"/>
              </w:rPr>
              <w:t>Title</w:t>
            </w:r>
            <w:r w:rsidR="00325422" w:rsidRPr="001E128B">
              <w:rPr>
                <w:sz w:val="18"/>
                <w:szCs w:val="18"/>
              </w:rPr>
              <w:t xml:space="preserve"> </w:t>
            </w:r>
          </w:p>
        </w:tc>
        <w:tc>
          <w:tcPr>
            <w:tcW w:w="4968" w:type="dxa"/>
            <w:tcBorders>
              <w:top w:val="single" w:sz="4" w:space="0" w:color="000000"/>
              <w:left w:val="single" w:sz="4" w:space="0" w:color="000000"/>
              <w:bottom w:val="single" w:sz="4" w:space="0" w:color="000000"/>
              <w:right w:val="single" w:sz="4" w:space="0" w:color="000000"/>
            </w:tcBorders>
          </w:tcPr>
          <w:p w14:paraId="4860E61D" w14:textId="46E00E53" w:rsidR="00325422" w:rsidRPr="00564358" w:rsidRDefault="00325422" w:rsidP="00883FAD">
            <w:pPr>
              <w:spacing w:after="0" w:line="276" w:lineRule="auto"/>
              <w:ind w:left="1" w:firstLine="0"/>
              <w:rPr>
                <w:bCs/>
                <w:sz w:val="18"/>
                <w:szCs w:val="18"/>
              </w:rPr>
            </w:pPr>
            <w:r w:rsidRPr="001E128B">
              <w:rPr>
                <w:b/>
                <w:sz w:val="18"/>
                <w:szCs w:val="18"/>
              </w:rPr>
              <w:t xml:space="preserve"> </w:t>
            </w:r>
            <w:r w:rsidR="0085451B">
              <w:rPr>
                <w:bCs/>
                <w:sz w:val="18"/>
                <w:szCs w:val="18"/>
              </w:rPr>
              <w:t xml:space="preserve">MA, </w:t>
            </w:r>
            <w:r w:rsidR="00564358">
              <w:rPr>
                <w:bCs/>
                <w:sz w:val="18"/>
                <w:szCs w:val="18"/>
              </w:rPr>
              <w:t>dr</w:t>
            </w:r>
          </w:p>
        </w:tc>
      </w:tr>
      <w:tr w:rsidR="00325422" w:rsidRPr="001E128B" w14:paraId="30545EBB"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73F40834" w14:textId="7FA45A92" w:rsidR="00325422" w:rsidRPr="001E128B" w:rsidRDefault="00B06052" w:rsidP="00883FAD">
            <w:pPr>
              <w:spacing w:after="0" w:line="276" w:lineRule="auto"/>
              <w:ind w:left="0" w:firstLine="0"/>
              <w:rPr>
                <w:sz w:val="18"/>
                <w:szCs w:val="18"/>
              </w:rPr>
            </w:pPr>
            <w:r w:rsidRPr="001E128B">
              <w:rPr>
                <w:sz w:val="18"/>
                <w:szCs w:val="18"/>
              </w:rPr>
              <w:t>Type of class:</w:t>
            </w:r>
          </w:p>
        </w:tc>
        <w:tc>
          <w:tcPr>
            <w:tcW w:w="4968" w:type="dxa"/>
            <w:tcBorders>
              <w:top w:val="single" w:sz="4" w:space="0" w:color="000000"/>
              <w:left w:val="single" w:sz="4" w:space="0" w:color="000000"/>
              <w:bottom w:val="single" w:sz="4" w:space="0" w:color="000000"/>
              <w:right w:val="single" w:sz="4" w:space="0" w:color="000000"/>
            </w:tcBorders>
          </w:tcPr>
          <w:p w14:paraId="73EB98DD" w14:textId="258C386A" w:rsidR="00325422" w:rsidRPr="001E128B" w:rsidRDefault="00325422" w:rsidP="00883FAD">
            <w:pPr>
              <w:spacing w:after="0" w:line="276" w:lineRule="auto"/>
              <w:ind w:left="1" w:firstLine="0"/>
              <w:rPr>
                <w:sz w:val="18"/>
                <w:szCs w:val="18"/>
              </w:rPr>
            </w:pPr>
            <w:r w:rsidRPr="001E128B">
              <w:rPr>
                <w:sz w:val="18"/>
                <w:szCs w:val="18"/>
              </w:rPr>
              <w:t xml:space="preserve"> </w:t>
            </w:r>
            <w:r w:rsidR="00D92F06">
              <w:rPr>
                <w:sz w:val="18"/>
                <w:szCs w:val="18"/>
              </w:rPr>
              <w:t>lecture</w:t>
            </w:r>
          </w:p>
        </w:tc>
      </w:tr>
      <w:tr w:rsidR="003E3597" w:rsidRPr="00100408" w14:paraId="297C743D"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2FC2FCEF" w14:textId="6947BEF7" w:rsidR="003E3597" w:rsidRPr="001E128B" w:rsidRDefault="003E3597" w:rsidP="003E3597">
            <w:pPr>
              <w:spacing w:after="0" w:line="276" w:lineRule="auto"/>
              <w:ind w:left="0" w:firstLine="0"/>
              <w:rPr>
                <w:sz w:val="18"/>
                <w:szCs w:val="18"/>
                <w:lang w:val="en-US"/>
              </w:rPr>
            </w:pPr>
            <w:r w:rsidRPr="001E128B">
              <w:rPr>
                <w:sz w:val="18"/>
                <w:szCs w:val="18"/>
                <w:lang w:val="en-US"/>
              </w:rPr>
              <w:t>Learning outcomes defined for didactic method used during the course</w:t>
            </w:r>
          </w:p>
        </w:tc>
        <w:tc>
          <w:tcPr>
            <w:tcW w:w="4968" w:type="dxa"/>
            <w:tcBorders>
              <w:top w:val="single" w:sz="4" w:space="0" w:color="000000"/>
              <w:left w:val="single" w:sz="4" w:space="0" w:color="000000"/>
              <w:bottom w:val="single" w:sz="4" w:space="0" w:color="000000"/>
              <w:right w:val="single" w:sz="4" w:space="0" w:color="000000"/>
            </w:tcBorders>
          </w:tcPr>
          <w:p w14:paraId="763B2E9C"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t xml:space="preserve"> K_W01 (Know</w:t>
            </w:r>
            <w:r>
              <w:rPr>
                <w:sz w:val="18"/>
                <w:szCs w:val="18"/>
                <w:lang w:val="en-US"/>
              </w:rPr>
              <w:t>ledge and in-depth</w:t>
            </w:r>
            <w:r w:rsidRPr="001E128B">
              <w:rPr>
                <w:sz w:val="18"/>
                <w:szCs w:val="18"/>
                <w:lang w:val="en-US"/>
              </w:rPr>
              <w:t xml:space="preserve"> understand</w:t>
            </w:r>
            <w:r>
              <w:rPr>
                <w:sz w:val="18"/>
                <w:szCs w:val="18"/>
                <w:lang w:val="en-US"/>
              </w:rPr>
              <w:t>ing of the</w:t>
            </w:r>
            <w:r w:rsidRPr="001E128B">
              <w:rPr>
                <w:sz w:val="18"/>
                <w:szCs w:val="18"/>
                <w:lang w:val="en-US"/>
              </w:rPr>
              <w:t xml:space="preserve"> research methodology and terminology in the field of management and quality </w:t>
            </w:r>
            <w:r>
              <w:rPr>
                <w:sz w:val="18"/>
                <w:szCs w:val="18"/>
                <w:lang w:val="en-US"/>
              </w:rPr>
              <w:t xml:space="preserve">discipline </w:t>
            </w:r>
            <w:r w:rsidRPr="001E128B">
              <w:rPr>
                <w:sz w:val="18"/>
                <w:szCs w:val="18"/>
                <w:lang w:val="en-US"/>
              </w:rPr>
              <w:t>and in complementary disciplines (economics and finance, legal sciences))</w:t>
            </w:r>
          </w:p>
          <w:p w14:paraId="57780B7C"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lastRenderedPageBreak/>
              <w:t>K_W04 (Know</w:t>
            </w:r>
            <w:r>
              <w:rPr>
                <w:sz w:val="18"/>
                <w:szCs w:val="18"/>
                <w:lang w:val="en-US"/>
              </w:rPr>
              <w:t>ledge and in-depth understanding of</w:t>
            </w:r>
            <w:r w:rsidRPr="001E128B">
              <w:rPr>
                <w:sz w:val="18"/>
                <w:szCs w:val="18"/>
                <w:lang w:val="en-US"/>
              </w:rPr>
              <w:t xml:space="preserve"> legal regulations regarding the functioning of the organization and the entire economy)</w:t>
            </w:r>
          </w:p>
          <w:p w14:paraId="335D74C8"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t>K_W05 (Know</w:t>
            </w:r>
            <w:r>
              <w:rPr>
                <w:sz w:val="18"/>
                <w:szCs w:val="18"/>
                <w:lang w:val="en-US"/>
              </w:rPr>
              <w:t>ledge and understanding of the</w:t>
            </w:r>
            <w:r w:rsidRPr="001E128B">
              <w:rPr>
                <w:sz w:val="18"/>
                <w:szCs w:val="18"/>
                <w:lang w:val="en-US"/>
              </w:rPr>
              <w:t xml:space="preserve"> complex technological, social, political, legal, economic and ecological processes and phenomena and their impact on the functioning of the organization and the entire economy, including the principles of industrial property and copyright protection);</w:t>
            </w:r>
          </w:p>
          <w:p w14:paraId="2355E33E" w14:textId="77777777" w:rsidR="003E3597" w:rsidRPr="001E128B" w:rsidRDefault="003E3597" w:rsidP="003E3597">
            <w:pPr>
              <w:spacing w:after="0" w:line="276" w:lineRule="auto"/>
              <w:ind w:left="1" w:firstLine="0"/>
              <w:rPr>
                <w:sz w:val="18"/>
                <w:szCs w:val="18"/>
                <w:lang w:val="en-US"/>
              </w:rPr>
            </w:pPr>
            <w:r w:rsidRPr="001E128B">
              <w:rPr>
                <w:sz w:val="18"/>
                <w:szCs w:val="18"/>
                <w:lang w:val="en-US"/>
              </w:rPr>
              <w:t>K_U02 (</w:t>
            </w:r>
            <w:r>
              <w:rPr>
                <w:sz w:val="18"/>
                <w:szCs w:val="18"/>
                <w:lang w:val="en-US"/>
              </w:rPr>
              <w:t>Being</w:t>
            </w:r>
            <w:r w:rsidRPr="001E128B">
              <w:rPr>
                <w:sz w:val="18"/>
                <w:szCs w:val="18"/>
                <w:lang w:val="en-US"/>
              </w:rPr>
              <w:t xml:space="preserve"> able to correctly interpret complex technological, social, political, legal, economic and ecological processes and phenomena and their impact on the functioning of the organization and the entire economy, using the appropriate selection of sources)</w:t>
            </w:r>
          </w:p>
          <w:p w14:paraId="666E1DDC" w14:textId="30FB790C" w:rsidR="003E3597" w:rsidRPr="001E128B" w:rsidRDefault="003E3597" w:rsidP="003E3597">
            <w:pPr>
              <w:spacing w:after="0" w:line="276" w:lineRule="auto"/>
              <w:ind w:left="1" w:firstLine="0"/>
              <w:rPr>
                <w:sz w:val="18"/>
                <w:szCs w:val="18"/>
                <w:lang w:val="en-US"/>
              </w:rPr>
            </w:pPr>
            <w:r w:rsidRPr="001E128B">
              <w:rPr>
                <w:sz w:val="18"/>
                <w:szCs w:val="18"/>
                <w:lang w:val="en-US"/>
              </w:rPr>
              <w:t>K_K01 (Ready to assess and critically approach complex situations and phenomena related to the functioning of the organization, sector and the entire economy.)</w:t>
            </w:r>
          </w:p>
        </w:tc>
      </w:tr>
      <w:tr w:rsidR="003E3597" w:rsidRPr="00100408" w14:paraId="2096DE5A"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2684108B" w14:textId="62F0768F" w:rsidR="003E3597" w:rsidRPr="001E128B" w:rsidRDefault="003E3597" w:rsidP="003E3597">
            <w:pPr>
              <w:spacing w:after="0" w:line="276" w:lineRule="auto"/>
              <w:ind w:left="0" w:firstLine="0"/>
              <w:rPr>
                <w:sz w:val="18"/>
                <w:szCs w:val="18"/>
                <w:lang w:val="en-GB"/>
              </w:rPr>
            </w:pPr>
            <w:r w:rsidRPr="001E128B">
              <w:rPr>
                <w:sz w:val="18"/>
                <w:szCs w:val="18"/>
                <w:lang w:val="en-GB"/>
              </w:rPr>
              <w:lastRenderedPageBreak/>
              <w:t>Assessment methods and assessment criteria for didactic method used during the course</w:t>
            </w:r>
          </w:p>
        </w:tc>
        <w:tc>
          <w:tcPr>
            <w:tcW w:w="4968" w:type="dxa"/>
            <w:tcBorders>
              <w:top w:val="single" w:sz="4" w:space="0" w:color="000000"/>
              <w:left w:val="single" w:sz="4" w:space="0" w:color="000000"/>
              <w:bottom w:val="single" w:sz="4" w:space="0" w:color="000000"/>
              <w:right w:val="single" w:sz="4" w:space="0" w:color="000000"/>
            </w:tcBorders>
          </w:tcPr>
          <w:p w14:paraId="337B69CE" w14:textId="09DF351D" w:rsidR="003E3597" w:rsidRPr="001E128B" w:rsidRDefault="00D92F06" w:rsidP="003E3597">
            <w:pPr>
              <w:spacing w:after="0" w:line="276" w:lineRule="auto"/>
              <w:ind w:left="1" w:firstLine="0"/>
              <w:rPr>
                <w:sz w:val="18"/>
                <w:szCs w:val="18"/>
                <w:lang w:val="en-GB"/>
              </w:rPr>
            </w:pPr>
            <w:r w:rsidRPr="005A2FF8">
              <w:rPr>
                <w:sz w:val="18"/>
                <w:szCs w:val="18"/>
                <w:lang w:val="en-US"/>
              </w:rPr>
              <w:t>Active participation in the lessons and final written exam</w:t>
            </w:r>
            <w:r>
              <w:rPr>
                <w:sz w:val="18"/>
                <w:szCs w:val="18"/>
                <w:lang w:val="en-US"/>
              </w:rPr>
              <w:t xml:space="preserve"> (test, more than 50% of correct answers is necessary for passing).</w:t>
            </w:r>
          </w:p>
        </w:tc>
      </w:tr>
      <w:tr w:rsidR="003E3597" w:rsidRPr="001E128B" w14:paraId="459489CE" w14:textId="77777777" w:rsidTr="002D6C5B">
        <w:trPr>
          <w:trHeight w:val="218"/>
        </w:trPr>
        <w:tc>
          <w:tcPr>
            <w:tcW w:w="4496" w:type="dxa"/>
            <w:tcBorders>
              <w:top w:val="single" w:sz="4" w:space="0" w:color="000000"/>
              <w:left w:val="single" w:sz="4" w:space="0" w:color="000000"/>
              <w:bottom w:val="single" w:sz="4" w:space="0" w:color="000000"/>
              <w:right w:val="single" w:sz="4" w:space="0" w:color="000000"/>
            </w:tcBorders>
          </w:tcPr>
          <w:p w14:paraId="56DCE65B" w14:textId="62D97981" w:rsidR="003E3597" w:rsidRPr="001E128B" w:rsidRDefault="003E3597" w:rsidP="003E3597">
            <w:pPr>
              <w:spacing w:after="0" w:line="276" w:lineRule="auto"/>
              <w:ind w:left="0" w:firstLine="0"/>
              <w:rPr>
                <w:sz w:val="18"/>
                <w:szCs w:val="18"/>
                <w:lang w:val="en-GB"/>
              </w:rPr>
            </w:pPr>
            <w:r w:rsidRPr="001E128B">
              <w:rPr>
                <w:sz w:val="18"/>
                <w:szCs w:val="18"/>
                <w:lang w:val="en-GB"/>
              </w:rPr>
              <w:t>Examination for didactic method used during the course</w:t>
            </w:r>
          </w:p>
        </w:tc>
        <w:tc>
          <w:tcPr>
            <w:tcW w:w="4968" w:type="dxa"/>
            <w:tcBorders>
              <w:top w:val="single" w:sz="4" w:space="0" w:color="000000"/>
              <w:left w:val="single" w:sz="4" w:space="0" w:color="000000"/>
              <w:bottom w:val="single" w:sz="4" w:space="0" w:color="000000"/>
              <w:right w:val="single" w:sz="4" w:space="0" w:color="000000"/>
            </w:tcBorders>
          </w:tcPr>
          <w:p w14:paraId="737E0BB8" w14:textId="0EFF81CB" w:rsidR="003E3597" w:rsidRPr="001E128B" w:rsidRDefault="00D92F06" w:rsidP="003E3597">
            <w:pPr>
              <w:spacing w:after="0" w:line="276" w:lineRule="auto"/>
              <w:ind w:left="1" w:firstLine="0"/>
              <w:rPr>
                <w:sz w:val="18"/>
                <w:szCs w:val="18"/>
                <w:lang w:val="en-GB"/>
              </w:rPr>
            </w:pPr>
            <w:r>
              <w:rPr>
                <w:sz w:val="18"/>
                <w:szCs w:val="18"/>
                <w:lang w:val="en-GB"/>
              </w:rPr>
              <w:t>Exam</w:t>
            </w:r>
          </w:p>
        </w:tc>
      </w:tr>
      <w:tr w:rsidR="003E3597" w:rsidRPr="001E128B" w14:paraId="378D696C"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6E777654" w14:textId="181F2E2E" w:rsidR="003E3597" w:rsidRPr="001E128B" w:rsidRDefault="003E3597" w:rsidP="003E3597">
            <w:pPr>
              <w:spacing w:after="0" w:line="276" w:lineRule="auto"/>
              <w:ind w:left="0" w:firstLine="0"/>
              <w:rPr>
                <w:sz w:val="18"/>
                <w:szCs w:val="18"/>
              </w:rPr>
            </w:pPr>
            <w:r w:rsidRPr="001E128B">
              <w:rPr>
                <w:sz w:val="18"/>
                <w:szCs w:val="18"/>
              </w:rPr>
              <w:t>Range of content</w:t>
            </w:r>
          </w:p>
        </w:tc>
        <w:tc>
          <w:tcPr>
            <w:tcW w:w="4968" w:type="dxa"/>
            <w:tcBorders>
              <w:top w:val="single" w:sz="4" w:space="0" w:color="000000"/>
              <w:left w:val="single" w:sz="4" w:space="0" w:color="000000"/>
              <w:bottom w:val="single" w:sz="4" w:space="0" w:color="000000"/>
              <w:right w:val="single" w:sz="4" w:space="0" w:color="000000"/>
            </w:tcBorders>
          </w:tcPr>
          <w:p w14:paraId="2A5C4753"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b/>
                <w:sz w:val="18"/>
                <w:szCs w:val="18"/>
                <w:lang w:val="en-US"/>
              </w:rPr>
              <w:t xml:space="preserve">Introductory issues </w:t>
            </w:r>
            <w:r w:rsidRPr="005A2FF8">
              <w:rPr>
                <w:sz w:val="18"/>
                <w:szCs w:val="18"/>
                <w:lang w:val="en-US"/>
              </w:rPr>
              <w:t>(what is the internal market and why is it important, what is the EU, what are EU’s institutions?) – materials provided by the teachers during classes</w:t>
            </w:r>
          </w:p>
          <w:p w14:paraId="3129124C"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6130AA3D"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b/>
                <w:sz w:val="18"/>
                <w:szCs w:val="18"/>
                <w:lang w:val="en-US"/>
              </w:rPr>
              <w:t xml:space="preserve">Introductory issues </w:t>
            </w:r>
            <w:r w:rsidRPr="005A2FF8">
              <w:rPr>
                <w:sz w:val="18"/>
                <w:szCs w:val="18"/>
                <w:lang w:val="en-US"/>
              </w:rPr>
              <w:t>(EU’s legal order, how to read CJEU’s case law?) – materials provided by the teachers during classes</w:t>
            </w:r>
          </w:p>
          <w:p w14:paraId="22FFCD43"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20118386"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 movement of goods</w:t>
            </w:r>
          </w:p>
          <w:p w14:paraId="5AEF6F7D"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sz w:val="18"/>
                <w:szCs w:val="18"/>
                <w:lang w:val="en-US"/>
              </w:rPr>
              <w:t>G. Bermann, R. Goebel, W. Davey, E. Fox, Cases…, pp. 417-512</w:t>
            </w:r>
          </w:p>
          <w:p w14:paraId="2E94F703"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3C25A396"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 movement of goods</w:t>
            </w:r>
          </w:p>
          <w:p w14:paraId="0B017CCC"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sz w:val="18"/>
                <w:szCs w:val="18"/>
                <w:lang w:val="en-US"/>
              </w:rPr>
              <w:t>G. Bermann, R. Goebel, W. Davey, E. Fox, Cases…, pp. 417-512</w:t>
            </w:r>
          </w:p>
          <w:p w14:paraId="531D66A4"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154994ED"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 movement of people</w:t>
            </w:r>
          </w:p>
          <w:p w14:paraId="42E30C82" w14:textId="77777777" w:rsidR="003E3597" w:rsidRPr="005A2FF8" w:rsidRDefault="003E3597" w:rsidP="003E3597">
            <w:pPr>
              <w:ind w:left="0" w:hanging="2"/>
              <w:jc w:val="both"/>
              <w:rPr>
                <w:b/>
                <w:sz w:val="18"/>
                <w:szCs w:val="18"/>
                <w:lang w:val="en-US"/>
              </w:rPr>
            </w:pPr>
            <w:r w:rsidRPr="005A2FF8">
              <w:rPr>
                <w:sz w:val="18"/>
                <w:szCs w:val="18"/>
                <w:lang w:val="en-US"/>
              </w:rPr>
              <w:t xml:space="preserve">G. Bermann, R. Goebel, W. Davey, E. Fox, Cases…, pp. 558-651 (free movement of persons) </w:t>
            </w:r>
          </w:p>
          <w:p w14:paraId="1B63AAD9"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20AECB4C"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Freedom of establishment</w:t>
            </w:r>
          </w:p>
          <w:p w14:paraId="6CB9F81A" w14:textId="77777777" w:rsidR="003E3597" w:rsidRPr="005A2FF8" w:rsidRDefault="003E3597" w:rsidP="003E3597">
            <w:pPr>
              <w:ind w:left="0" w:hanging="2"/>
              <w:jc w:val="both"/>
              <w:rPr>
                <w:b/>
                <w:sz w:val="18"/>
                <w:szCs w:val="18"/>
                <w:lang w:val="en-US"/>
              </w:rPr>
            </w:pPr>
            <w:r w:rsidRPr="005A2FF8">
              <w:rPr>
                <w:sz w:val="18"/>
                <w:szCs w:val="18"/>
                <w:lang w:val="en-US"/>
              </w:rPr>
              <w:t>G. Bermann, R. Goebel, W. Davey, E. Fox, Cases…, pp. 703-726 (right of establishment)</w:t>
            </w:r>
          </w:p>
          <w:p w14:paraId="523F346A" w14:textId="77777777" w:rsidR="003E3597" w:rsidRDefault="003E3597" w:rsidP="003E3597">
            <w:pPr>
              <w:pBdr>
                <w:top w:val="nil"/>
                <w:left w:val="nil"/>
                <w:bottom w:val="nil"/>
                <w:right w:val="nil"/>
                <w:between w:val="nil"/>
              </w:pBdr>
              <w:spacing w:line="240" w:lineRule="auto"/>
              <w:ind w:left="0" w:hanging="2"/>
              <w:jc w:val="both"/>
              <w:rPr>
                <w:sz w:val="18"/>
                <w:szCs w:val="18"/>
                <w:lang w:val="en-US"/>
              </w:rPr>
            </w:pPr>
          </w:p>
          <w:p w14:paraId="7A87D615" w14:textId="5B25BFE2"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Freedom of services</w:t>
            </w:r>
          </w:p>
          <w:p w14:paraId="482CE22F"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sz w:val="18"/>
                <w:szCs w:val="18"/>
                <w:lang w:val="en-US"/>
              </w:rPr>
              <w:t>G. Bermann, R. Goebel, W. Davey, E. Fox, Cases…, pp. 657-702 (free movement of services)</w:t>
            </w:r>
          </w:p>
          <w:p w14:paraId="7CEDF6F8"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3B529C31"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r w:rsidRPr="005A2FF8">
              <w:rPr>
                <w:b/>
                <w:sz w:val="18"/>
                <w:szCs w:val="18"/>
                <w:lang w:val="en-US"/>
              </w:rPr>
              <w:t>Free movement of capital</w:t>
            </w:r>
          </w:p>
          <w:p w14:paraId="6B3ED0AD" w14:textId="77777777" w:rsidR="003E3597" w:rsidRPr="005A2FF8" w:rsidRDefault="003E3597" w:rsidP="003E3597">
            <w:pPr>
              <w:ind w:left="0" w:hanging="2"/>
              <w:jc w:val="both"/>
              <w:rPr>
                <w:b/>
                <w:sz w:val="18"/>
                <w:szCs w:val="18"/>
                <w:lang w:val="en-US"/>
              </w:rPr>
            </w:pPr>
            <w:r w:rsidRPr="005A2FF8">
              <w:rPr>
                <w:sz w:val="18"/>
                <w:szCs w:val="18"/>
                <w:lang w:val="en-US"/>
              </w:rPr>
              <w:t>G. Bermann, R. Goebel, W. Davey, E. Fox, Cases…, pp. 1202-1242 (Free movement of capital and payments)</w:t>
            </w:r>
          </w:p>
          <w:p w14:paraId="63D8649F"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2F2C5C99"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EU’s policies: harmonisation of copyright law</w:t>
            </w:r>
          </w:p>
          <w:p w14:paraId="53E91CA4" w14:textId="77777777" w:rsidR="003E3597" w:rsidRPr="005A2FF8" w:rsidRDefault="003E3597" w:rsidP="003E3597">
            <w:pPr>
              <w:ind w:left="0" w:hanging="2"/>
              <w:jc w:val="both"/>
              <w:rPr>
                <w:sz w:val="18"/>
                <w:szCs w:val="18"/>
                <w:lang w:val="en-US"/>
              </w:rPr>
            </w:pPr>
            <w:r w:rsidRPr="005A2FF8">
              <w:rPr>
                <w:sz w:val="18"/>
                <w:szCs w:val="18"/>
                <w:lang w:val="en-US"/>
              </w:rPr>
              <w:t>Selected cases</w:t>
            </w:r>
          </w:p>
          <w:p w14:paraId="30FCAF39" w14:textId="77777777" w:rsidR="003E3597" w:rsidRPr="005A2FF8" w:rsidRDefault="003E3597" w:rsidP="003E3597">
            <w:pPr>
              <w:pBdr>
                <w:top w:val="nil"/>
                <w:left w:val="nil"/>
                <w:bottom w:val="nil"/>
                <w:right w:val="nil"/>
                <w:between w:val="nil"/>
              </w:pBdr>
              <w:spacing w:line="240" w:lineRule="auto"/>
              <w:ind w:left="0" w:hanging="2"/>
              <w:jc w:val="both"/>
              <w:rPr>
                <w:sz w:val="18"/>
                <w:szCs w:val="18"/>
                <w:lang w:val="en-US"/>
              </w:rPr>
            </w:pPr>
          </w:p>
          <w:p w14:paraId="314C5F12" w14:textId="77777777" w:rsidR="003E3597" w:rsidRPr="005A2FF8" w:rsidRDefault="003E3597" w:rsidP="003E3597">
            <w:pPr>
              <w:pBdr>
                <w:top w:val="nil"/>
                <w:left w:val="nil"/>
                <w:bottom w:val="nil"/>
                <w:right w:val="nil"/>
                <w:between w:val="nil"/>
              </w:pBdr>
              <w:spacing w:line="240" w:lineRule="auto"/>
              <w:ind w:left="0" w:hanging="2"/>
              <w:jc w:val="both"/>
              <w:rPr>
                <w:b/>
                <w:sz w:val="18"/>
                <w:szCs w:val="18"/>
                <w:lang w:val="en-US"/>
              </w:rPr>
            </w:pPr>
            <w:r w:rsidRPr="005A2FF8">
              <w:rPr>
                <w:b/>
                <w:sz w:val="18"/>
                <w:szCs w:val="18"/>
                <w:lang w:val="en-US"/>
              </w:rPr>
              <w:t>EU’s policies: copyright, privacy and filtering</w:t>
            </w:r>
          </w:p>
          <w:p w14:paraId="78037431" w14:textId="59E7FDB2" w:rsidR="003E3597" w:rsidRPr="001E128B" w:rsidRDefault="003E3597" w:rsidP="003E3597">
            <w:pPr>
              <w:spacing w:after="0" w:line="276" w:lineRule="auto"/>
              <w:ind w:left="1" w:firstLine="0"/>
              <w:rPr>
                <w:sz w:val="18"/>
                <w:szCs w:val="18"/>
              </w:rPr>
            </w:pPr>
            <w:r>
              <w:rPr>
                <w:sz w:val="18"/>
                <w:szCs w:val="18"/>
              </w:rPr>
              <w:t>Selected cases</w:t>
            </w:r>
          </w:p>
        </w:tc>
      </w:tr>
      <w:tr w:rsidR="003E3597" w:rsidRPr="00100408" w14:paraId="71FD2739"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tcPr>
          <w:p w14:paraId="4712242F" w14:textId="6C98B637" w:rsidR="003E3597" w:rsidRPr="001E128B" w:rsidRDefault="003E3597" w:rsidP="003E3597">
            <w:pPr>
              <w:spacing w:after="0" w:line="276" w:lineRule="auto"/>
              <w:ind w:left="0" w:firstLine="0"/>
              <w:rPr>
                <w:sz w:val="18"/>
                <w:szCs w:val="18"/>
              </w:rPr>
            </w:pPr>
            <w:r w:rsidRPr="001E128B">
              <w:rPr>
                <w:sz w:val="18"/>
                <w:szCs w:val="18"/>
              </w:rPr>
              <w:t>Didactic methods</w:t>
            </w:r>
          </w:p>
        </w:tc>
        <w:tc>
          <w:tcPr>
            <w:tcW w:w="4968" w:type="dxa"/>
            <w:tcBorders>
              <w:top w:val="single" w:sz="4" w:space="0" w:color="000000"/>
              <w:left w:val="single" w:sz="4" w:space="0" w:color="000000"/>
              <w:bottom w:val="single" w:sz="4" w:space="0" w:color="000000"/>
              <w:right w:val="single" w:sz="4" w:space="0" w:color="000000"/>
            </w:tcBorders>
          </w:tcPr>
          <w:p w14:paraId="1E02F1A6" w14:textId="71F7270F" w:rsidR="003E3597" w:rsidRPr="003E3597" w:rsidRDefault="003E3597" w:rsidP="003E3597">
            <w:pPr>
              <w:spacing w:after="0" w:line="276" w:lineRule="auto"/>
              <w:ind w:left="1" w:firstLine="0"/>
              <w:rPr>
                <w:sz w:val="18"/>
                <w:szCs w:val="18"/>
                <w:lang w:val="en-US"/>
              </w:rPr>
            </w:pPr>
            <w:r w:rsidRPr="005A2FF8">
              <w:rPr>
                <w:sz w:val="18"/>
                <w:szCs w:val="18"/>
                <w:lang w:val="en-US"/>
              </w:rPr>
              <w:t>Course is based on the discussion of real cases. Students are expected to read the materials before the class and actively participate in their analysis during the class.</w:t>
            </w:r>
          </w:p>
        </w:tc>
      </w:tr>
      <w:tr w:rsidR="003E3597" w:rsidRPr="001E128B" w14:paraId="523610F2" w14:textId="77777777" w:rsidTr="002D6C5B">
        <w:trPr>
          <w:trHeight w:val="218"/>
        </w:trPr>
        <w:tc>
          <w:tcPr>
            <w:tcW w:w="4496" w:type="dxa"/>
            <w:tcBorders>
              <w:top w:val="single" w:sz="4" w:space="0" w:color="000000"/>
              <w:left w:val="single" w:sz="4" w:space="0" w:color="000000"/>
              <w:bottom w:val="single" w:sz="4" w:space="0" w:color="000000"/>
              <w:right w:val="single" w:sz="4" w:space="0" w:color="000000"/>
            </w:tcBorders>
          </w:tcPr>
          <w:p w14:paraId="17D69F35" w14:textId="4E10454E" w:rsidR="003E3597" w:rsidRPr="001E128B" w:rsidRDefault="003E3597" w:rsidP="003E3597">
            <w:pPr>
              <w:spacing w:after="0" w:line="276" w:lineRule="auto"/>
              <w:ind w:left="0" w:firstLine="0"/>
              <w:rPr>
                <w:sz w:val="18"/>
                <w:szCs w:val="18"/>
              </w:rPr>
            </w:pPr>
            <w:r w:rsidRPr="001E128B">
              <w:rPr>
                <w:sz w:val="18"/>
                <w:szCs w:val="18"/>
              </w:rPr>
              <w:lastRenderedPageBreak/>
              <w:t>Bibliography</w:t>
            </w:r>
          </w:p>
        </w:tc>
        <w:tc>
          <w:tcPr>
            <w:tcW w:w="4968" w:type="dxa"/>
            <w:tcBorders>
              <w:top w:val="single" w:sz="4" w:space="0" w:color="000000"/>
              <w:left w:val="single" w:sz="4" w:space="0" w:color="000000"/>
              <w:bottom w:val="single" w:sz="4" w:space="0" w:color="000000"/>
              <w:right w:val="single" w:sz="4" w:space="0" w:color="000000"/>
            </w:tcBorders>
          </w:tcPr>
          <w:p w14:paraId="5A96E70B" w14:textId="77777777" w:rsidR="003E3597" w:rsidRPr="005A2FF8" w:rsidRDefault="003E3597" w:rsidP="003E3597">
            <w:pPr>
              <w:ind w:left="0" w:hanging="2"/>
              <w:jc w:val="both"/>
              <w:rPr>
                <w:sz w:val="18"/>
                <w:szCs w:val="18"/>
                <w:lang w:val="en-US"/>
              </w:rPr>
            </w:pPr>
            <w:r w:rsidRPr="003E3597">
              <w:rPr>
                <w:sz w:val="18"/>
                <w:szCs w:val="18"/>
                <w:lang w:val="en-US"/>
              </w:rPr>
              <w:t xml:space="preserve"> </w:t>
            </w:r>
            <w:r w:rsidRPr="005A2FF8">
              <w:rPr>
                <w:sz w:val="18"/>
                <w:szCs w:val="18"/>
                <w:u w:val="single"/>
                <w:lang w:val="en-US"/>
              </w:rPr>
              <w:t>Obligatory reading</w:t>
            </w:r>
            <w:r w:rsidRPr="005A2FF8">
              <w:rPr>
                <w:sz w:val="18"/>
                <w:szCs w:val="18"/>
                <w:lang w:val="en-US"/>
              </w:rPr>
              <w:t>:</w:t>
            </w:r>
          </w:p>
          <w:p w14:paraId="6A2A7B3E" w14:textId="77777777" w:rsidR="003E3597" w:rsidRPr="005A2FF8" w:rsidRDefault="003E3597" w:rsidP="003E3597">
            <w:pPr>
              <w:ind w:left="0" w:hanging="2"/>
              <w:jc w:val="both"/>
              <w:rPr>
                <w:sz w:val="18"/>
                <w:szCs w:val="18"/>
                <w:lang w:val="en-US"/>
              </w:rPr>
            </w:pPr>
            <w:r w:rsidRPr="005A2FF8">
              <w:rPr>
                <w:sz w:val="18"/>
                <w:szCs w:val="18"/>
                <w:lang w:val="en-US"/>
              </w:rPr>
              <w:t xml:space="preserve">1. G. Bermann, R. Goebel, W. Davey, E. Fox, </w:t>
            </w:r>
            <w:r w:rsidRPr="005A2FF8">
              <w:rPr>
                <w:i/>
                <w:sz w:val="18"/>
                <w:szCs w:val="18"/>
                <w:lang w:val="en-US"/>
              </w:rPr>
              <w:t>Cases and Materials on European Union Law</w:t>
            </w:r>
            <w:r w:rsidRPr="005A2FF8">
              <w:rPr>
                <w:sz w:val="18"/>
                <w:szCs w:val="18"/>
                <w:lang w:val="en-US"/>
              </w:rPr>
              <w:t>, 3d Edition, Thomson Reuters 2011</w:t>
            </w:r>
            <w:r>
              <w:rPr>
                <w:sz w:val="18"/>
                <w:szCs w:val="18"/>
                <w:lang w:val="en-US"/>
              </w:rPr>
              <w:t xml:space="preserve"> (and the following editions)</w:t>
            </w:r>
          </w:p>
          <w:p w14:paraId="7AC6F48D" w14:textId="77777777" w:rsidR="003E3597" w:rsidRPr="005A2FF8" w:rsidRDefault="003E3597" w:rsidP="003E3597">
            <w:pPr>
              <w:ind w:left="0" w:hanging="2"/>
              <w:jc w:val="both"/>
              <w:rPr>
                <w:sz w:val="18"/>
                <w:szCs w:val="18"/>
                <w:lang w:val="en-US"/>
              </w:rPr>
            </w:pPr>
          </w:p>
          <w:p w14:paraId="3DA0CF2B" w14:textId="77777777" w:rsidR="003E3597" w:rsidRPr="005A2FF8" w:rsidRDefault="003E3597" w:rsidP="003E3597">
            <w:pPr>
              <w:ind w:left="0" w:hanging="2"/>
              <w:jc w:val="both"/>
              <w:rPr>
                <w:sz w:val="18"/>
                <w:szCs w:val="18"/>
                <w:lang w:val="en-US"/>
              </w:rPr>
            </w:pPr>
            <w:r w:rsidRPr="005A2FF8">
              <w:rPr>
                <w:sz w:val="18"/>
                <w:szCs w:val="18"/>
                <w:lang w:val="en-US"/>
              </w:rPr>
              <w:t>2. CJEU judgements or European Commission’s decisions as well as other materials from the instructors</w:t>
            </w:r>
          </w:p>
          <w:p w14:paraId="5D386788" w14:textId="77777777" w:rsidR="003E3597" w:rsidRPr="005A2FF8" w:rsidRDefault="003E3597" w:rsidP="003E3597">
            <w:pPr>
              <w:ind w:left="0" w:hanging="2"/>
              <w:jc w:val="both"/>
              <w:rPr>
                <w:sz w:val="18"/>
                <w:szCs w:val="18"/>
                <w:lang w:val="en-US"/>
              </w:rPr>
            </w:pPr>
          </w:p>
          <w:p w14:paraId="57E8AE1D" w14:textId="77777777" w:rsidR="003E3597" w:rsidRPr="005A2FF8" w:rsidRDefault="003E3597" w:rsidP="003E3597">
            <w:pPr>
              <w:ind w:left="0" w:hanging="2"/>
              <w:jc w:val="both"/>
              <w:rPr>
                <w:sz w:val="18"/>
                <w:szCs w:val="18"/>
                <w:lang w:val="en-US"/>
              </w:rPr>
            </w:pPr>
            <w:r w:rsidRPr="005A2FF8">
              <w:rPr>
                <w:sz w:val="18"/>
                <w:szCs w:val="18"/>
                <w:lang w:val="en-US"/>
              </w:rPr>
              <w:t>Obligatory materials will be available at Kampus platform.</w:t>
            </w:r>
          </w:p>
          <w:p w14:paraId="146C62FB" w14:textId="77777777" w:rsidR="003E3597" w:rsidRPr="005A2FF8" w:rsidRDefault="003E3597" w:rsidP="003E3597">
            <w:pPr>
              <w:ind w:left="0" w:hanging="2"/>
              <w:jc w:val="both"/>
              <w:rPr>
                <w:sz w:val="18"/>
                <w:szCs w:val="18"/>
                <w:lang w:val="en-US"/>
              </w:rPr>
            </w:pPr>
          </w:p>
          <w:p w14:paraId="1D1E05DC" w14:textId="77777777" w:rsidR="003E3597" w:rsidRPr="005A2FF8" w:rsidRDefault="003E3597" w:rsidP="003E3597">
            <w:pPr>
              <w:ind w:left="0" w:hanging="2"/>
              <w:jc w:val="both"/>
              <w:rPr>
                <w:sz w:val="18"/>
                <w:szCs w:val="18"/>
                <w:lang w:val="en-US"/>
              </w:rPr>
            </w:pPr>
            <w:r w:rsidRPr="005A2FF8">
              <w:rPr>
                <w:sz w:val="18"/>
                <w:szCs w:val="18"/>
                <w:lang w:val="en-US"/>
              </w:rPr>
              <w:t>Materials are only for use for classes. Further dissemination is prohibited.</w:t>
            </w:r>
          </w:p>
          <w:p w14:paraId="23D39820" w14:textId="77777777" w:rsidR="003E3597" w:rsidRPr="005A2FF8" w:rsidRDefault="003E3597" w:rsidP="003E3597">
            <w:pPr>
              <w:ind w:left="0" w:hanging="2"/>
              <w:jc w:val="both"/>
              <w:rPr>
                <w:sz w:val="18"/>
                <w:szCs w:val="18"/>
                <w:u w:val="single"/>
                <w:lang w:val="en-US"/>
              </w:rPr>
            </w:pPr>
          </w:p>
          <w:p w14:paraId="077FB6E1" w14:textId="77777777" w:rsidR="003E3597" w:rsidRPr="005A2FF8" w:rsidRDefault="003E3597" w:rsidP="003E3597">
            <w:pPr>
              <w:ind w:left="0" w:hanging="2"/>
              <w:jc w:val="both"/>
              <w:rPr>
                <w:sz w:val="18"/>
                <w:szCs w:val="18"/>
                <w:lang w:val="en-US"/>
              </w:rPr>
            </w:pPr>
            <w:r w:rsidRPr="005A2FF8">
              <w:rPr>
                <w:sz w:val="18"/>
                <w:szCs w:val="18"/>
                <w:u w:val="single"/>
                <w:lang w:val="en-US"/>
              </w:rPr>
              <w:t>Further Reading</w:t>
            </w:r>
            <w:r w:rsidRPr="005A2FF8">
              <w:rPr>
                <w:sz w:val="18"/>
                <w:szCs w:val="18"/>
                <w:lang w:val="en-US"/>
              </w:rPr>
              <w:t>:</w:t>
            </w:r>
          </w:p>
          <w:p w14:paraId="49979281" w14:textId="77777777" w:rsidR="003E3597" w:rsidRPr="005A2FF8" w:rsidRDefault="003E3597" w:rsidP="003E3597">
            <w:pPr>
              <w:ind w:left="0" w:hanging="2"/>
              <w:jc w:val="both"/>
              <w:rPr>
                <w:sz w:val="18"/>
                <w:szCs w:val="18"/>
                <w:lang w:val="en-US"/>
              </w:rPr>
            </w:pPr>
            <w:r w:rsidRPr="005A2FF8">
              <w:rPr>
                <w:sz w:val="18"/>
                <w:szCs w:val="18"/>
                <w:lang w:val="en-US"/>
              </w:rPr>
              <w:t xml:space="preserve">C. Barnard, </w:t>
            </w:r>
            <w:r w:rsidRPr="005A2FF8">
              <w:rPr>
                <w:i/>
                <w:sz w:val="18"/>
                <w:szCs w:val="18"/>
                <w:lang w:val="en-US"/>
              </w:rPr>
              <w:t>The Substantive Law of the EU: The Four Freedoms</w:t>
            </w:r>
            <w:r w:rsidRPr="005A2FF8">
              <w:rPr>
                <w:sz w:val="18"/>
                <w:szCs w:val="18"/>
                <w:lang w:val="en-US"/>
              </w:rPr>
              <w:t>, Oxford 2013</w:t>
            </w:r>
          </w:p>
          <w:p w14:paraId="56DC449D" w14:textId="77777777" w:rsidR="003E3597" w:rsidRPr="005A2FF8" w:rsidRDefault="003E3597" w:rsidP="003E3597">
            <w:pPr>
              <w:ind w:left="0" w:hanging="2"/>
              <w:jc w:val="both"/>
              <w:rPr>
                <w:sz w:val="18"/>
                <w:szCs w:val="18"/>
                <w:lang w:val="en-US"/>
              </w:rPr>
            </w:pPr>
          </w:p>
          <w:p w14:paraId="5B412E80" w14:textId="77777777" w:rsidR="003E3597" w:rsidRPr="005A2FF8" w:rsidRDefault="003E3597" w:rsidP="003E3597">
            <w:pPr>
              <w:ind w:left="0" w:hanging="2"/>
              <w:jc w:val="both"/>
              <w:rPr>
                <w:sz w:val="18"/>
                <w:szCs w:val="18"/>
                <w:u w:val="single"/>
                <w:lang w:val="en-US"/>
              </w:rPr>
            </w:pPr>
          </w:p>
          <w:p w14:paraId="6EA1BAD1" w14:textId="77777777" w:rsidR="003E3597" w:rsidRPr="005A2FF8" w:rsidRDefault="003E3597" w:rsidP="003E3597">
            <w:pPr>
              <w:ind w:left="0" w:hanging="2"/>
              <w:jc w:val="both"/>
              <w:rPr>
                <w:sz w:val="18"/>
                <w:szCs w:val="18"/>
                <w:lang w:val="en-US"/>
              </w:rPr>
            </w:pPr>
            <w:r w:rsidRPr="005A2FF8">
              <w:rPr>
                <w:sz w:val="18"/>
                <w:szCs w:val="18"/>
                <w:u w:val="single"/>
                <w:lang w:val="en-US"/>
              </w:rPr>
              <w:t>Further reading for Polish speaking students</w:t>
            </w:r>
            <w:r w:rsidRPr="005A2FF8">
              <w:rPr>
                <w:sz w:val="18"/>
                <w:szCs w:val="18"/>
                <w:lang w:val="en-US"/>
              </w:rPr>
              <w:t>:</w:t>
            </w:r>
          </w:p>
          <w:p w14:paraId="4D88C75B" w14:textId="77777777" w:rsidR="003E3597" w:rsidRDefault="003E3597" w:rsidP="003E3597">
            <w:pPr>
              <w:ind w:left="0" w:hanging="2"/>
              <w:jc w:val="both"/>
              <w:rPr>
                <w:sz w:val="18"/>
                <w:szCs w:val="18"/>
              </w:rPr>
            </w:pPr>
            <w:r>
              <w:rPr>
                <w:i/>
                <w:sz w:val="18"/>
                <w:szCs w:val="18"/>
              </w:rPr>
              <w:t>Prawo materialne Unii Europejskiej. Swobodny przepływ towarów, osób usług i kapitału. Podstawy prawa konkurencji</w:t>
            </w:r>
            <w:r>
              <w:rPr>
                <w:sz w:val="18"/>
                <w:szCs w:val="18"/>
              </w:rPr>
              <w:t>. (eds.) A. Zawidzka-Łojek, R. Grzeszczak, Vademecum, Instytut Wydawniczy EuroPrawo, ed. 3, Warszawa 2013 (and the following editions).</w:t>
            </w:r>
          </w:p>
          <w:p w14:paraId="1FA68481" w14:textId="1354C966" w:rsidR="003E3597" w:rsidRPr="001E128B" w:rsidRDefault="003E3597" w:rsidP="003E3597">
            <w:pPr>
              <w:spacing w:after="0" w:line="276" w:lineRule="auto"/>
              <w:ind w:left="1" w:firstLine="0"/>
              <w:rPr>
                <w:sz w:val="18"/>
                <w:szCs w:val="18"/>
              </w:rPr>
            </w:pPr>
          </w:p>
        </w:tc>
      </w:tr>
      <w:tr w:rsidR="003E3597" w:rsidRPr="001E128B" w14:paraId="390E4910"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E3597" w:rsidRPr="001E128B" w:rsidRDefault="003E3597" w:rsidP="003E3597">
            <w:pPr>
              <w:spacing w:after="0" w:line="276" w:lineRule="auto"/>
              <w:ind w:left="0" w:firstLine="0"/>
              <w:rPr>
                <w:sz w:val="18"/>
                <w:szCs w:val="18"/>
              </w:rPr>
            </w:pPr>
            <w:r w:rsidRPr="001E128B">
              <w:rPr>
                <w:sz w:val="18"/>
                <w:szCs w:val="18"/>
              </w:rPr>
              <w:t xml:space="preserve">Group limit </w:t>
            </w:r>
          </w:p>
        </w:tc>
        <w:tc>
          <w:tcPr>
            <w:tcW w:w="4968"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E3597" w:rsidRPr="001E128B" w:rsidRDefault="003E3597" w:rsidP="003E3597">
            <w:pPr>
              <w:spacing w:after="0" w:line="276" w:lineRule="auto"/>
              <w:ind w:left="1" w:firstLine="0"/>
              <w:rPr>
                <w:sz w:val="18"/>
                <w:szCs w:val="18"/>
              </w:rPr>
            </w:pPr>
            <w:r w:rsidRPr="001E128B">
              <w:rPr>
                <w:sz w:val="18"/>
                <w:szCs w:val="18"/>
              </w:rPr>
              <w:t xml:space="preserve"> </w:t>
            </w:r>
          </w:p>
        </w:tc>
      </w:tr>
      <w:tr w:rsidR="003E3597" w:rsidRPr="001E128B" w14:paraId="349CC74B" w14:textId="77777777" w:rsidTr="002D6C5B">
        <w:trPr>
          <w:trHeight w:val="216"/>
        </w:trPr>
        <w:tc>
          <w:tcPr>
            <w:tcW w:w="4496"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E3597" w:rsidRPr="001E128B" w:rsidRDefault="003E3597" w:rsidP="003E3597">
            <w:pPr>
              <w:spacing w:after="0" w:line="276" w:lineRule="auto"/>
              <w:ind w:left="0" w:firstLine="0"/>
              <w:rPr>
                <w:sz w:val="18"/>
                <w:szCs w:val="18"/>
              </w:rPr>
            </w:pPr>
            <w:r w:rsidRPr="001E128B">
              <w:rPr>
                <w:sz w:val="18"/>
                <w:szCs w:val="18"/>
              </w:rPr>
              <w:t>Time span</w:t>
            </w:r>
          </w:p>
        </w:tc>
        <w:tc>
          <w:tcPr>
            <w:tcW w:w="4968"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E3597" w:rsidRPr="001E128B" w:rsidRDefault="003E3597" w:rsidP="003E3597">
            <w:pPr>
              <w:spacing w:after="0" w:line="276" w:lineRule="auto"/>
              <w:ind w:left="1" w:firstLine="0"/>
              <w:rPr>
                <w:sz w:val="18"/>
                <w:szCs w:val="18"/>
              </w:rPr>
            </w:pPr>
            <w:r w:rsidRPr="001E128B">
              <w:rPr>
                <w:sz w:val="18"/>
                <w:szCs w:val="18"/>
              </w:rPr>
              <w:t xml:space="preserve"> </w:t>
            </w:r>
          </w:p>
        </w:tc>
      </w:tr>
      <w:tr w:rsidR="003E3597" w:rsidRPr="001E128B" w14:paraId="4EFA93FD" w14:textId="77777777" w:rsidTr="002D6C5B">
        <w:trPr>
          <w:trHeight w:val="215"/>
        </w:trPr>
        <w:tc>
          <w:tcPr>
            <w:tcW w:w="4496"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E3597" w:rsidRPr="001E128B" w:rsidRDefault="003E3597" w:rsidP="003E3597">
            <w:pPr>
              <w:spacing w:after="0" w:line="276" w:lineRule="auto"/>
              <w:ind w:left="0" w:firstLine="0"/>
              <w:rPr>
                <w:sz w:val="18"/>
                <w:szCs w:val="18"/>
              </w:rPr>
            </w:pPr>
            <w:r w:rsidRPr="001E128B">
              <w:rPr>
                <w:sz w:val="18"/>
                <w:szCs w:val="18"/>
              </w:rPr>
              <w:t>Location</w:t>
            </w:r>
          </w:p>
        </w:tc>
        <w:tc>
          <w:tcPr>
            <w:tcW w:w="4968"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E3597" w:rsidRPr="001E128B" w:rsidRDefault="003E3597" w:rsidP="003E3597">
            <w:pPr>
              <w:spacing w:after="0" w:line="276" w:lineRule="auto"/>
              <w:ind w:left="1" w:firstLine="0"/>
              <w:rPr>
                <w:sz w:val="18"/>
                <w:szCs w:val="18"/>
              </w:rPr>
            </w:pPr>
            <w:r w:rsidRPr="001E128B">
              <w:rPr>
                <w:sz w:val="18"/>
                <w:szCs w:val="18"/>
              </w:rPr>
              <w:t xml:space="preserve"> </w:t>
            </w:r>
          </w:p>
        </w:tc>
      </w:tr>
    </w:tbl>
    <w:p w14:paraId="7E0C23C7" w14:textId="77777777" w:rsidR="00325422" w:rsidRPr="001E128B" w:rsidRDefault="00325422">
      <w:pPr>
        <w:rPr>
          <w:sz w:val="18"/>
          <w:szCs w:val="18"/>
        </w:rPr>
      </w:pPr>
    </w:p>
    <w:sectPr w:rsidR="00325422" w:rsidRPr="001E12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08A7" w14:textId="77777777" w:rsidR="003B0256" w:rsidRDefault="003B0256" w:rsidP="006F4F7C">
      <w:pPr>
        <w:spacing w:after="0" w:line="240" w:lineRule="auto"/>
      </w:pPr>
      <w:r>
        <w:separator/>
      </w:r>
    </w:p>
  </w:endnote>
  <w:endnote w:type="continuationSeparator" w:id="0">
    <w:p w14:paraId="446C9271" w14:textId="77777777" w:rsidR="003B0256" w:rsidRDefault="003B0256"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0E94" w14:textId="77777777" w:rsidR="003B0256" w:rsidRDefault="003B0256" w:rsidP="006F4F7C">
      <w:pPr>
        <w:spacing w:after="0" w:line="240" w:lineRule="auto"/>
      </w:pPr>
      <w:r>
        <w:separator/>
      </w:r>
    </w:p>
  </w:footnote>
  <w:footnote w:type="continuationSeparator" w:id="0">
    <w:p w14:paraId="73742A7C" w14:textId="77777777" w:rsidR="003B0256" w:rsidRDefault="003B0256" w:rsidP="006F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100408"/>
    <w:rsid w:val="00167F5F"/>
    <w:rsid w:val="001E128B"/>
    <w:rsid w:val="002D6C5B"/>
    <w:rsid w:val="00325422"/>
    <w:rsid w:val="003B0256"/>
    <w:rsid w:val="003E3597"/>
    <w:rsid w:val="0041308D"/>
    <w:rsid w:val="004D621E"/>
    <w:rsid w:val="00564358"/>
    <w:rsid w:val="006F4F7C"/>
    <w:rsid w:val="007D4BA6"/>
    <w:rsid w:val="0085451B"/>
    <w:rsid w:val="008B02E1"/>
    <w:rsid w:val="009403F5"/>
    <w:rsid w:val="00B06052"/>
    <w:rsid w:val="00B31DEE"/>
    <w:rsid w:val="00CC1D2B"/>
    <w:rsid w:val="00D92F06"/>
    <w:rsid w:val="00D97876"/>
    <w:rsid w:val="00ED2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6933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2023-08-21T11:13:00Z</dcterms:created>
  <dcterms:modified xsi:type="dcterms:W3CDTF">2025-02-17T09:04:00Z</dcterms:modified>
</cp:coreProperties>
</file>