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6141" w14:textId="77777777" w:rsidR="009F1BF3" w:rsidRPr="00DE1E00" w:rsidRDefault="00572EBB" w:rsidP="006C08FF">
      <w:pPr>
        <w:jc w:val="center"/>
        <w:outlineLvl w:val="0"/>
        <w:rPr>
          <w:rFonts w:ascii="Arial" w:hAnsi="Arial" w:cs="Arial"/>
          <w:b/>
        </w:rPr>
      </w:pPr>
      <w:r w:rsidRPr="00DE1E00">
        <w:rPr>
          <w:noProof/>
        </w:rPr>
        <w:drawing>
          <wp:anchor distT="0" distB="0" distL="114300" distR="114300" simplePos="0" relativeHeight="251657728" behindDoc="0" locked="0" layoutInCell="1" allowOverlap="1" wp14:anchorId="3181F472" wp14:editId="07777777">
            <wp:simplePos x="0" y="0"/>
            <wp:positionH relativeFrom="column">
              <wp:posOffset>-342900</wp:posOffset>
            </wp:positionH>
            <wp:positionV relativeFrom="paragraph">
              <wp:posOffset>66675</wp:posOffset>
            </wp:positionV>
            <wp:extent cx="914400" cy="906780"/>
            <wp:effectExtent l="0" t="0" r="0" b="0"/>
            <wp:wrapSquare wrapText="bothSides"/>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1440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B2E3D" w14:textId="77777777" w:rsidR="0038231A" w:rsidRPr="00DE1E00" w:rsidRDefault="006C08FF" w:rsidP="006C08FF">
      <w:pPr>
        <w:jc w:val="center"/>
        <w:outlineLvl w:val="0"/>
        <w:rPr>
          <w:rFonts w:ascii="Arial" w:hAnsi="Arial" w:cs="Arial"/>
          <w:b/>
        </w:rPr>
      </w:pPr>
      <w:r w:rsidRPr="00DE1E00">
        <w:rPr>
          <w:rFonts w:ascii="Arial" w:hAnsi="Arial" w:cs="Arial"/>
          <w:b/>
        </w:rPr>
        <w:t>Uniwersytet Warszawski</w:t>
      </w:r>
    </w:p>
    <w:p w14:paraId="44DCBCBD" w14:textId="77777777" w:rsidR="006C08FF" w:rsidRPr="00DE1E00" w:rsidRDefault="006C08FF" w:rsidP="006C08FF">
      <w:pPr>
        <w:jc w:val="center"/>
        <w:outlineLvl w:val="0"/>
        <w:rPr>
          <w:rFonts w:ascii="Arial" w:hAnsi="Arial" w:cs="Arial"/>
          <w:b/>
          <w:sz w:val="20"/>
          <w:szCs w:val="20"/>
        </w:rPr>
      </w:pPr>
      <w:r w:rsidRPr="00DE1E00">
        <w:rPr>
          <w:rFonts w:ascii="Arial" w:hAnsi="Arial" w:cs="Arial"/>
          <w:b/>
        </w:rPr>
        <w:t>Wydział Zarządzania</w:t>
      </w:r>
    </w:p>
    <w:p w14:paraId="672A6659" w14:textId="77777777" w:rsidR="007609FA" w:rsidRPr="00DE1E00" w:rsidRDefault="007609FA">
      <w:pPr>
        <w:outlineLvl w:val="0"/>
        <w:rPr>
          <w:rFonts w:ascii="Arial" w:hAnsi="Arial" w:cs="Arial"/>
          <w:b/>
          <w:sz w:val="16"/>
          <w:szCs w:val="16"/>
        </w:rPr>
      </w:pPr>
    </w:p>
    <w:p w14:paraId="0AA6D718" w14:textId="77777777" w:rsidR="007609FA" w:rsidRPr="00DE1E00" w:rsidRDefault="009F1BF3" w:rsidP="009F1BF3">
      <w:pPr>
        <w:jc w:val="center"/>
        <w:outlineLvl w:val="0"/>
        <w:rPr>
          <w:rFonts w:ascii="Arial" w:hAnsi="Arial" w:cs="Arial"/>
          <w:b/>
        </w:rPr>
      </w:pPr>
      <w:r w:rsidRPr="00DE1E00">
        <w:rPr>
          <w:rFonts w:ascii="Arial" w:hAnsi="Arial" w:cs="Arial"/>
          <w:b/>
        </w:rPr>
        <w:t>Sylabus</w:t>
      </w:r>
    </w:p>
    <w:p w14:paraId="0A37501D" w14:textId="77777777" w:rsidR="007609FA" w:rsidRPr="00DE1E00" w:rsidRDefault="007609FA">
      <w:pPr>
        <w:outlineLvl w:val="0"/>
        <w:rPr>
          <w:rFonts w:ascii="Arial" w:hAnsi="Arial" w:cs="Arial"/>
          <w:b/>
          <w:sz w:val="16"/>
          <w:szCs w:val="16"/>
        </w:rPr>
      </w:pPr>
    </w:p>
    <w:p w14:paraId="5DAB6C7B" w14:textId="77777777" w:rsidR="007609FA" w:rsidRPr="00DE1E00" w:rsidRDefault="007609FA">
      <w:pPr>
        <w:outlineLvl w:val="0"/>
        <w:rPr>
          <w:rFonts w:ascii="Arial" w:hAnsi="Arial" w:cs="Arial"/>
          <w:b/>
          <w:sz w:val="16"/>
          <w:szCs w:val="16"/>
        </w:rPr>
      </w:pPr>
    </w:p>
    <w:p w14:paraId="02EB378F" w14:textId="77777777" w:rsidR="00D1150F" w:rsidRPr="00DE1E00" w:rsidRDefault="00D1150F" w:rsidP="00D1150F">
      <w:pPr>
        <w:jc w:val="center"/>
        <w:outlineLvl w:val="0"/>
        <w:rPr>
          <w:rFonts w:ascii="Arial" w:hAnsi="Arial" w:cs="Arial"/>
          <w:b/>
        </w:rPr>
      </w:pPr>
    </w:p>
    <w:p w14:paraId="6A05A809" w14:textId="77777777" w:rsidR="00DC74F6" w:rsidRPr="00DE1E00" w:rsidRDefault="00DC74F6">
      <w:pPr>
        <w:jc w:val="right"/>
        <w:rPr>
          <w:rFonts w:ascii="Arial" w:hAnsi="Arial" w:cs="Arial"/>
          <w:sz w:val="20"/>
          <w:szCs w:val="20"/>
        </w:rPr>
      </w:pPr>
    </w:p>
    <w:p w14:paraId="5A39BBE3" w14:textId="77777777" w:rsidR="00DC74F6" w:rsidRPr="00DE1E00" w:rsidRDefault="00DC74F6">
      <w:pPr>
        <w:outlineLvl w:val="0"/>
        <w:rPr>
          <w:rFonts w:ascii="Arial" w:hAnsi="Arial" w:cs="Arial"/>
          <w:b/>
          <w:sz w:val="20"/>
          <w:szCs w:val="20"/>
        </w:rPr>
      </w:pPr>
    </w:p>
    <w:p w14:paraId="644350FD" w14:textId="77777777" w:rsidR="00DC74F6" w:rsidRPr="00DE1E00" w:rsidRDefault="000F028B" w:rsidP="000F028B">
      <w:pPr>
        <w:numPr>
          <w:ilvl w:val="0"/>
          <w:numId w:val="8"/>
        </w:numPr>
        <w:spacing w:after="120"/>
        <w:jc w:val="both"/>
        <w:outlineLvl w:val="0"/>
        <w:rPr>
          <w:rFonts w:ascii="Arial" w:hAnsi="Arial" w:cs="Arial"/>
          <w:b/>
          <w:sz w:val="14"/>
          <w:szCs w:val="14"/>
        </w:rPr>
      </w:pPr>
      <w:r w:rsidRPr="00DE1E00">
        <w:rPr>
          <w:rFonts w:ascii="Arial" w:hAnsi="Arial" w:cs="Arial"/>
          <w:b/>
          <w:sz w:val="14"/>
          <w:szCs w:val="14"/>
        </w:rPr>
        <w:t xml:space="preserve">General </w:t>
      </w:r>
      <w:proofErr w:type="spellStart"/>
      <w:r w:rsidRPr="00DE1E00">
        <w:rPr>
          <w:rFonts w:ascii="Arial" w:hAnsi="Arial" w:cs="Arial"/>
          <w:b/>
          <w:sz w:val="14"/>
          <w:szCs w:val="14"/>
        </w:rPr>
        <w:t>course</w:t>
      </w:r>
      <w:proofErr w:type="spellEnd"/>
      <w:r w:rsidRPr="00DE1E00">
        <w:rPr>
          <w:rFonts w:ascii="Arial" w:hAnsi="Arial" w:cs="Arial"/>
          <w:b/>
          <w:sz w:val="14"/>
          <w:szCs w:val="14"/>
        </w:rPr>
        <w:t xml:space="preserve"> </w:t>
      </w:r>
      <w:proofErr w:type="spellStart"/>
      <w:r w:rsidRPr="00DE1E00">
        <w:rPr>
          <w:rFonts w:ascii="Arial" w:hAnsi="Arial" w:cs="Arial"/>
          <w:b/>
          <w:sz w:val="14"/>
          <w:szCs w:val="14"/>
        </w:rPr>
        <w:t>information</w:t>
      </w:r>
      <w:proofErr w:type="spellEnd"/>
      <w:r w:rsidR="00DC74F6" w:rsidRPr="00DE1E00">
        <w:rPr>
          <w:rFonts w:ascii="Arial" w:hAnsi="Arial" w:cs="Arial"/>
          <w:b/>
          <w:sz w:val="14"/>
          <w:szCs w:val="1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486"/>
        <w:gridCol w:w="6088"/>
      </w:tblGrid>
      <w:tr w:rsidR="00DC74F6" w14:paraId="057E1C01" w14:textId="77777777" w:rsidTr="71854CB5">
        <w:tc>
          <w:tcPr>
            <w:tcW w:w="2988" w:type="dxa"/>
            <w:gridSpan w:val="2"/>
          </w:tcPr>
          <w:p w14:paraId="6638A89D" w14:textId="77777777" w:rsidR="00DC74F6" w:rsidRDefault="00DC74F6">
            <w:pPr>
              <w:jc w:val="center"/>
              <w:rPr>
                <w:rFonts w:ascii="Calibri" w:hAnsi="Calibri" w:cs="Calibri"/>
                <w:b/>
                <w:sz w:val="22"/>
                <w:szCs w:val="22"/>
              </w:rPr>
            </w:pPr>
            <w:r>
              <w:rPr>
                <w:rFonts w:ascii="Calibri" w:hAnsi="Calibri" w:cs="Calibri"/>
                <w:b/>
                <w:sz w:val="22"/>
                <w:szCs w:val="22"/>
              </w:rPr>
              <w:t>Nazwa pola</w:t>
            </w:r>
          </w:p>
        </w:tc>
        <w:tc>
          <w:tcPr>
            <w:tcW w:w="6224" w:type="dxa"/>
          </w:tcPr>
          <w:p w14:paraId="41C8F396" w14:textId="77777777" w:rsidR="00DC74F6" w:rsidRDefault="00DC74F6">
            <w:pPr>
              <w:jc w:val="center"/>
              <w:rPr>
                <w:rFonts w:ascii="Calibri" w:hAnsi="Calibri" w:cs="Calibri"/>
                <w:b/>
                <w:sz w:val="22"/>
                <w:szCs w:val="22"/>
              </w:rPr>
            </w:pPr>
          </w:p>
        </w:tc>
      </w:tr>
      <w:tr w:rsidR="00DC74F6" w14:paraId="300E8014" w14:textId="77777777" w:rsidTr="71854CB5">
        <w:tc>
          <w:tcPr>
            <w:tcW w:w="2988" w:type="dxa"/>
            <w:gridSpan w:val="2"/>
          </w:tcPr>
          <w:p w14:paraId="38E9432F" w14:textId="77777777" w:rsidR="00DC74F6" w:rsidRDefault="00DC74F6">
            <w:pPr>
              <w:rPr>
                <w:rFonts w:ascii="Calibri" w:hAnsi="Calibri" w:cs="Calibri"/>
                <w:sz w:val="22"/>
                <w:szCs w:val="22"/>
              </w:rPr>
            </w:pPr>
            <w:r>
              <w:rPr>
                <w:rFonts w:ascii="Calibri" w:hAnsi="Calibri" w:cs="Calibri"/>
                <w:color w:val="000000"/>
                <w:sz w:val="22"/>
                <w:szCs w:val="22"/>
              </w:rPr>
              <w:t xml:space="preserve">Course </w:t>
            </w:r>
            <w:proofErr w:type="spellStart"/>
            <w:r>
              <w:rPr>
                <w:rFonts w:ascii="Calibri" w:hAnsi="Calibri" w:cs="Calibri"/>
                <w:color w:val="000000"/>
                <w:sz w:val="22"/>
                <w:szCs w:val="22"/>
              </w:rPr>
              <w:t>title</w:t>
            </w:r>
            <w:proofErr w:type="spellEnd"/>
          </w:p>
        </w:tc>
        <w:tc>
          <w:tcPr>
            <w:tcW w:w="6224" w:type="dxa"/>
          </w:tcPr>
          <w:p w14:paraId="05B6CE5E" w14:textId="77777777" w:rsidR="00DC74F6" w:rsidRDefault="003A10FA">
            <w:pPr>
              <w:jc w:val="both"/>
              <w:rPr>
                <w:rFonts w:ascii="Calibri" w:hAnsi="Calibri" w:cs="Calibri"/>
                <w:sz w:val="22"/>
                <w:szCs w:val="22"/>
              </w:rPr>
            </w:pPr>
            <w:r>
              <w:rPr>
                <w:rFonts w:ascii="Calibri" w:hAnsi="Calibri" w:cs="Calibri"/>
                <w:sz w:val="22"/>
                <w:szCs w:val="22"/>
              </w:rPr>
              <w:t>International Banking</w:t>
            </w:r>
          </w:p>
        </w:tc>
      </w:tr>
      <w:tr w:rsidR="00DC74F6" w14:paraId="6DBC8CDF" w14:textId="77777777" w:rsidTr="71854CB5">
        <w:tc>
          <w:tcPr>
            <w:tcW w:w="2988" w:type="dxa"/>
            <w:gridSpan w:val="2"/>
          </w:tcPr>
          <w:p w14:paraId="6598B639" w14:textId="77777777" w:rsidR="00DC74F6" w:rsidRDefault="00DC74F6">
            <w:pPr>
              <w:rPr>
                <w:rFonts w:ascii="Calibri" w:hAnsi="Calibri" w:cs="Calibri"/>
                <w:sz w:val="22"/>
                <w:szCs w:val="22"/>
              </w:rPr>
            </w:pPr>
            <w:r>
              <w:rPr>
                <w:rFonts w:ascii="Calibri" w:hAnsi="Calibri" w:cs="Calibri"/>
                <w:color w:val="000000"/>
                <w:sz w:val="22"/>
                <w:szCs w:val="22"/>
              </w:rPr>
              <w:t>Faculty/</w:t>
            </w:r>
            <w:proofErr w:type="spellStart"/>
            <w:r>
              <w:rPr>
                <w:rFonts w:ascii="Calibri" w:hAnsi="Calibri" w:cs="Calibri"/>
                <w:color w:val="000000"/>
                <w:sz w:val="22"/>
                <w:szCs w:val="22"/>
              </w:rPr>
              <w:t>Institute</w:t>
            </w:r>
            <w:proofErr w:type="spellEnd"/>
          </w:p>
        </w:tc>
        <w:tc>
          <w:tcPr>
            <w:tcW w:w="6224" w:type="dxa"/>
          </w:tcPr>
          <w:p w14:paraId="43D8EAF9" w14:textId="77777777" w:rsidR="00DC74F6" w:rsidRDefault="000F028B">
            <w:pPr>
              <w:jc w:val="both"/>
              <w:rPr>
                <w:rFonts w:ascii="Calibri" w:hAnsi="Calibri" w:cs="Calibri"/>
                <w:sz w:val="22"/>
                <w:szCs w:val="22"/>
              </w:rPr>
            </w:pPr>
            <w:r>
              <w:rPr>
                <w:rFonts w:ascii="Calibri" w:hAnsi="Calibri" w:cs="Calibri"/>
                <w:sz w:val="22"/>
                <w:szCs w:val="22"/>
              </w:rPr>
              <w:t>Faculty of Management</w:t>
            </w:r>
          </w:p>
        </w:tc>
      </w:tr>
      <w:tr w:rsidR="00DC74F6" w14:paraId="6FBE6583" w14:textId="77777777" w:rsidTr="71854CB5">
        <w:tc>
          <w:tcPr>
            <w:tcW w:w="2988" w:type="dxa"/>
            <w:gridSpan w:val="2"/>
          </w:tcPr>
          <w:p w14:paraId="1F996DAD" w14:textId="77777777" w:rsidR="00DC74F6" w:rsidRDefault="00DC74F6">
            <w:pPr>
              <w:rPr>
                <w:rFonts w:ascii="Calibri" w:hAnsi="Calibri" w:cs="Calibri"/>
                <w:sz w:val="22"/>
                <w:szCs w:val="22"/>
                <w:lang w:val="en-US"/>
              </w:rPr>
            </w:pPr>
            <w:r>
              <w:rPr>
                <w:rFonts w:ascii="Calibri" w:hAnsi="Calibri" w:cs="Calibri"/>
                <w:sz w:val="22"/>
                <w:szCs w:val="22"/>
                <w:lang w:val="en-US"/>
              </w:rPr>
              <w:t xml:space="preserve">Programme for which the course is offered </w:t>
            </w:r>
          </w:p>
        </w:tc>
        <w:tc>
          <w:tcPr>
            <w:tcW w:w="6224" w:type="dxa"/>
          </w:tcPr>
          <w:p w14:paraId="7085FEFE" w14:textId="77777777" w:rsidR="00DC74F6" w:rsidRDefault="0098464A">
            <w:pPr>
              <w:jc w:val="both"/>
              <w:rPr>
                <w:rFonts w:ascii="Calibri" w:hAnsi="Calibri" w:cs="Calibri"/>
                <w:sz w:val="22"/>
                <w:szCs w:val="22"/>
                <w:lang w:val="en-US"/>
              </w:rPr>
            </w:pPr>
            <w:r>
              <w:rPr>
                <w:rFonts w:ascii="Calibri" w:hAnsi="Calibri" w:cs="Calibri"/>
                <w:sz w:val="22"/>
                <w:szCs w:val="22"/>
                <w:lang w:val="en-US"/>
              </w:rPr>
              <w:t xml:space="preserve">International Business Program </w:t>
            </w:r>
          </w:p>
        </w:tc>
      </w:tr>
      <w:tr w:rsidR="00DC74F6" w14:paraId="2E241800" w14:textId="77777777" w:rsidTr="71854CB5">
        <w:tc>
          <w:tcPr>
            <w:tcW w:w="2988" w:type="dxa"/>
            <w:gridSpan w:val="2"/>
            <w:shd w:val="clear" w:color="auto" w:fill="CCCCCC"/>
          </w:tcPr>
          <w:p w14:paraId="3A356EC0" w14:textId="77777777" w:rsidR="00DC74F6" w:rsidRDefault="00DC74F6">
            <w:pPr>
              <w:rPr>
                <w:rFonts w:ascii="Calibri" w:hAnsi="Calibri" w:cs="Calibri"/>
                <w:sz w:val="22"/>
                <w:szCs w:val="22"/>
              </w:rPr>
            </w:pPr>
            <w:r>
              <w:rPr>
                <w:rFonts w:ascii="Calibri" w:hAnsi="Calibri" w:cs="Calibri"/>
                <w:color w:val="000000"/>
                <w:sz w:val="22"/>
                <w:szCs w:val="22"/>
              </w:rPr>
              <w:t>Course ID</w:t>
            </w:r>
          </w:p>
        </w:tc>
        <w:tc>
          <w:tcPr>
            <w:tcW w:w="6224" w:type="dxa"/>
            <w:shd w:val="clear" w:color="auto" w:fill="CCCCCC"/>
          </w:tcPr>
          <w:p w14:paraId="659E86B8" w14:textId="77777777" w:rsidR="00DC74F6" w:rsidRDefault="0098464A">
            <w:pPr>
              <w:jc w:val="both"/>
              <w:rPr>
                <w:rFonts w:ascii="Calibri" w:hAnsi="Calibri" w:cs="Calibri"/>
                <w:sz w:val="22"/>
                <w:szCs w:val="22"/>
              </w:rPr>
            </w:pPr>
            <w:r>
              <w:rPr>
                <w:rFonts w:ascii="Calibri" w:hAnsi="Calibri" w:cs="Calibri"/>
                <w:sz w:val="22"/>
                <w:szCs w:val="22"/>
              </w:rPr>
              <w:t>--------------------</w:t>
            </w:r>
          </w:p>
        </w:tc>
      </w:tr>
      <w:tr w:rsidR="00DC74F6" w14:paraId="0750EBE0" w14:textId="77777777" w:rsidTr="71854CB5">
        <w:tc>
          <w:tcPr>
            <w:tcW w:w="2988" w:type="dxa"/>
            <w:gridSpan w:val="2"/>
          </w:tcPr>
          <w:p w14:paraId="56288DCD" w14:textId="77777777" w:rsidR="00DC74F6" w:rsidRDefault="00DC74F6" w:rsidP="00C53C06">
            <w:pPr>
              <w:rPr>
                <w:rFonts w:ascii="Calibri" w:hAnsi="Calibri" w:cs="Calibri"/>
                <w:sz w:val="22"/>
                <w:szCs w:val="22"/>
              </w:rPr>
            </w:pPr>
            <w:r>
              <w:rPr>
                <w:rFonts w:ascii="Calibri" w:hAnsi="Calibri" w:cs="Calibri"/>
                <w:color w:val="000000"/>
                <w:sz w:val="22"/>
                <w:szCs w:val="22"/>
              </w:rPr>
              <w:t xml:space="preserve">Erasmus </w:t>
            </w:r>
            <w:proofErr w:type="spellStart"/>
            <w:r>
              <w:rPr>
                <w:rFonts w:ascii="Calibri" w:hAnsi="Calibri" w:cs="Calibri"/>
                <w:color w:val="000000"/>
                <w:sz w:val="22"/>
                <w:szCs w:val="22"/>
              </w:rPr>
              <w:t>code</w:t>
            </w:r>
            <w:proofErr w:type="spellEnd"/>
          </w:p>
        </w:tc>
        <w:tc>
          <w:tcPr>
            <w:tcW w:w="6224" w:type="dxa"/>
          </w:tcPr>
          <w:p w14:paraId="5CBE87A5" w14:textId="77777777" w:rsidR="00DC74F6" w:rsidRDefault="0098464A">
            <w:pPr>
              <w:jc w:val="both"/>
              <w:rPr>
                <w:rFonts w:ascii="Calibri" w:hAnsi="Calibri" w:cs="Calibri"/>
                <w:b/>
                <w:sz w:val="22"/>
                <w:szCs w:val="22"/>
              </w:rPr>
            </w:pPr>
            <w:r>
              <w:rPr>
                <w:rFonts w:ascii="Calibri" w:hAnsi="Calibri" w:cs="Calibri"/>
                <w:b/>
                <w:sz w:val="22"/>
                <w:szCs w:val="22"/>
              </w:rPr>
              <w:t>-------------------</w:t>
            </w:r>
          </w:p>
        </w:tc>
      </w:tr>
      <w:tr w:rsidR="00DC74F6" w14:paraId="6166BE7D" w14:textId="77777777" w:rsidTr="71854CB5">
        <w:tc>
          <w:tcPr>
            <w:tcW w:w="2988" w:type="dxa"/>
            <w:gridSpan w:val="2"/>
            <w:shd w:val="clear" w:color="auto" w:fill="CCCCCC"/>
          </w:tcPr>
          <w:p w14:paraId="7158B5B4" w14:textId="77777777" w:rsidR="00DC74F6" w:rsidRDefault="00DC74F6">
            <w:pPr>
              <w:rPr>
                <w:rFonts w:ascii="Calibri" w:hAnsi="Calibri" w:cs="Calibri"/>
                <w:sz w:val="22"/>
                <w:szCs w:val="22"/>
              </w:rPr>
            </w:pPr>
            <w:r>
              <w:rPr>
                <w:rFonts w:ascii="Calibri" w:hAnsi="Calibri" w:cs="Calibri"/>
                <w:color w:val="000000"/>
                <w:sz w:val="22"/>
                <w:szCs w:val="22"/>
              </w:rPr>
              <w:t xml:space="preserve">Course </w:t>
            </w:r>
            <w:proofErr w:type="spellStart"/>
            <w:r>
              <w:rPr>
                <w:rFonts w:ascii="Calibri" w:hAnsi="Calibri" w:cs="Calibri"/>
                <w:color w:val="000000"/>
                <w:sz w:val="22"/>
                <w:szCs w:val="22"/>
              </w:rPr>
              <w:t>group</w:t>
            </w:r>
            <w:proofErr w:type="spellEnd"/>
          </w:p>
        </w:tc>
        <w:tc>
          <w:tcPr>
            <w:tcW w:w="6224" w:type="dxa"/>
            <w:shd w:val="clear" w:color="auto" w:fill="CCCCCC"/>
          </w:tcPr>
          <w:p w14:paraId="72A3D3EC" w14:textId="77777777" w:rsidR="00DC74F6" w:rsidRDefault="00DC74F6">
            <w:pPr>
              <w:jc w:val="both"/>
              <w:rPr>
                <w:rFonts w:ascii="Calibri" w:hAnsi="Calibri" w:cs="Calibri"/>
                <w:sz w:val="22"/>
                <w:szCs w:val="22"/>
              </w:rPr>
            </w:pPr>
          </w:p>
        </w:tc>
      </w:tr>
      <w:tr w:rsidR="00DC74F6" w14:paraId="6772FF0A" w14:textId="77777777" w:rsidTr="71854CB5">
        <w:tc>
          <w:tcPr>
            <w:tcW w:w="2988" w:type="dxa"/>
            <w:gridSpan w:val="2"/>
          </w:tcPr>
          <w:p w14:paraId="22CF4D35" w14:textId="77777777" w:rsidR="00DC74F6" w:rsidRDefault="00DC74F6">
            <w:pPr>
              <w:rPr>
                <w:rFonts w:ascii="Calibri" w:hAnsi="Calibri" w:cs="Calibri"/>
                <w:sz w:val="22"/>
                <w:szCs w:val="22"/>
              </w:rPr>
            </w:pPr>
            <w:proofErr w:type="spellStart"/>
            <w:r>
              <w:rPr>
                <w:rFonts w:ascii="Calibri" w:hAnsi="Calibri" w:cs="Calibri"/>
                <w:sz w:val="22"/>
                <w:szCs w:val="22"/>
              </w:rPr>
              <w:t>Didactic</w:t>
            </w:r>
            <w:proofErr w:type="spellEnd"/>
            <w:r>
              <w:rPr>
                <w:rFonts w:ascii="Calibri" w:hAnsi="Calibri" w:cs="Calibri"/>
                <w:sz w:val="22"/>
                <w:szCs w:val="22"/>
              </w:rPr>
              <w:t xml:space="preserve"> </w:t>
            </w:r>
            <w:proofErr w:type="spellStart"/>
            <w:r>
              <w:rPr>
                <w:rFonts w:ascii="Calibri" w:hAnsi="Calibri" w:cs="Calibri"/>
                <w:sz w:val="22"/>
                <w:szCs w:val="22"/>
              </w:rPr>
              <w:t>cycle</w:t>
            </w:r>
            <w:proofErr w:type="spellEnd"/>
          </w:p>
        </w:tc>
        <w:tc>
          <w:tcPr>
            <w:tcW w:w="6224" w:type="dxa"/>
            <w:tcBorders>
              <w:bottom w:val="single" w:sz="4" w:space="0" w:color="auto"/>
            </w:tcBorders>
          </w:tcPr>
          <w:p w14:paraId="022DC425" w14:textId="76D28007" w:rsidR="00DC74F6" w:rsidRDefault="6C2DC862">
            <w:pPr>
              <w:jc w:val="both"/>
              <w:rPr>
                <w:rFonts w:ascii="Calibri" w:hAnsi="Calibri" w:cs="Calibri"/>
                <w:sz w:val="22"/>
                <w:szCs w:val="22"/>
              </w:rPr>
            </w:pPr>
            <w:proofErr w:type="spellStart"/>
            <w:r w:rsidRPr="71854CB5">
              <w:rPr>
                <w:rFonts w:ascii="Calibri" w:hAnsi="Calibri" w:cs="Calibri"/>
                <w:sz w:val="22"/>
                <w:szCs w:val="22"/>
              </w:rPr>
              <w:t>winter</w:t>
            </w:r>
            <w:proofErr w:type="spellEnd"/>
            <w:r w:rsidRPr="71854CB5">
              <w:rPr>
                <w:rFonts w:ascii="Calibri" w:hAnsi="Calibri" w:cs="Calibri"/>
                <w:sz w:val="22"/>
                <w:szCs w:val="22"/>
              </w:rPr>
              <w:t xml:space="preserve"> </w:t>
            </w:r>
            <w:r w:rsidR="000F028B" w:rsidRPr="71854CB5">
              <w:rPr>
                <w:rFonts w:ascii="Calibri" w:hAnsi="Calibri" w:cs="Calibri"/>
                <w:sz w:val="22"/>
                <w:szCs w:val="22"/>
              </w:rPr>
              <w:t>semester</w:t>
            </w:r>
          </w:p>
        </w:tc>
      </w:tr>
      <w:tr w:rsidR="00DC74F6" w14:paraId="07744F70" w14:textId="77777777" w:rsidTr="71854CB5">
        <w:tc>
          <w:tcPr>
            <w:tcW w:w="2988" w:type="dxa"/>
            <w:gridSpan w:val="2"/>
          </w:tcPr>
          <w:p w14:paraId="1463DA41" w14:textId="77777777" w:rsidR="00DC74F6" w:rsidRDefault="00DC74F6">
            <w:pPr>
              <w:rPr>
                <w:rFonts w:ascii="Calibri" w:hAnsi="Calibri" w:cs="Calibri"/>
                <w:sz w:val="22"/>
                <w:szCs w:val="22"/>
              </w:rPr>
            </w:pPr>
            <w:proofErr w:type="spellStart"/>
            <w:r>
              <w:rPr>
                <w:rFonts w:ascii="Calibri" w:hAnsi="Calibri" w:cs="Calibri"/>
                <w:color w:val="000000"/>
                <w:sz w:val="22"/>
                <w:szCs w:val="22"/>
              </w:rPr>
              <w:t>Type</w:t>
            </w:r>
            <w:proofErr w:type="spellEnd"/>
            <w:r>
              <w:rPr>
                <w:rFonts w:ascii="Calibri" w:hAnsi="Calibri" w:cs="Calibri"/>
                <w:color w:val="000000"/>
                <w:sz w:val="22"/>
                <w:szCs w:val="22"/>
              </w:rPr>
              <w:t xml:space="preserve">/form of </w:t>
            </w:r>
            <w:proofErr w:type="spellStart"/>
            <w:r>
              <w:rPr>
                <w:rFonts w:ascii="Calibri" w:hAnsi="Calibri" w:cs="Calibri"/>
                <w:color w:val="000000"/>
                <w:sz w:val="22"/>
                <w:szCs w:val="22"/>
              </w:rPr>
              <w:t>class</w:t>
            </w:r>
            <w:proofErr w:type="spellEnd"/>
          </w:p>
        </w:tc>
        <w:tc>
          <w:tcPr>
            <w:tcW w:w="6224" w:type="dxa"/>
            <w:tcBorders>
              <w:top w:val="single" w:sz="4" w:space="0" w:color="auto"/>
              <w:bottom w:val="single" w:sz="4" w:space="0" w:color="auto"/>
            </w:tcBorders>
          </w:tcPr>
          <w:p w14:paraId="640E0267" w14:textId="77777777" w:rsidR="00DC74F6" w:rsidRDefault="003A10FA">
            <w:pPr>
              <w:jc w:val="both"/>
              <w:rPr>
                <w:rFonts w:ascii="Calibri" w:hAnsi="Calibri" w:cs="Calibri"/>
                <w:sz w:val="22"/>
                <w:szCs w:val="22"/>
              </w:rPr>
            </w:pPr>
            <w:proofErr w:type="spellStart"/>
            <w:r>
              <w:rPr>
                <w:rFonts w:ascii="Calibri" w:hAnsi="Calibri" w:cs="Calibri"/>
                <w:sz w:val="22"/>
                <w:szCs w:val="22"/>
              </w:rPr>
              <w:t>C</w:t>
            </w:r>
            <w:r w:rsidR="00DE1E00">
              <w:rPr>
                <w:rFonts w:ascii="Calibri" w:hAnsi="Calibri" w:cs="Calibri"/>
                <w:sz w:val="22"/>
                <w:szCs w:val="22"/>
              </w:rPr>
              <w:t>onversatory</w:t>
            </w:r>
            <w:proofErr w:type="spellEnd"/>
          </w:p>
        </w:tc>
      </w:tr>
      <w:tr w:rsidR="00DC74F6" w14:paraId="13641827" w14:textId="77777777" w:rsidTr="71854CB5">
        <w:tc>
          <w:tcPr>
            <w:tcW w:w="2988" w:type="dxa"/>
            <w:gridSpan w:val="2"/>
          </w:tcPr>
          <w:p w14:paraId="32D321E1" w14:textId="77777777" w:rsidR="00DC74F6" w:rsidRDefault="00DC74F6">
            <w:pPr>
              <w:rPr>
                <w:rFonts w:ascii="Calibri" w:hAnsi="Calibri" w:cs="Calibri"/>
                <w:color w:val="000000"/>
                <w:sz w:val="22"/>
                <w:szCs w:val="22"/>
              </w:rPr>
            </w:pPr>
            <w:proofErr w:type="spellStart"/>
            <w:r>
              <w:rPr>
                <w:rFonts w:ascii="Calibri" w:hAnsi="Calibri" w:cs="Calibri"/>
                <w:sz w:val="22"/>
                <w:szCs w:val="22"/>
              </w:rPr>
              <w:t>Brief</w:t>
            </w:r>
            <w:proofErr w:type="spellEnd"/>
            <w:r>
              <w:rPr>
                <w:rFonts w:ascii="Calibri" w:hAnsi="Calibri" w:cs="Calibri"/>
                <w:sz w:val="22"/>
                <w:szCs w:val="22"/>
              </w:rPr>
              <w:t xml:space="preserve"> </w:t>
            </w:r>
            <w:proofErr w:type="spellStart"/>
            <w:r>
              <w:rPr>
                <w:rFonts w:ascii="Calibri" w:hAnsi="Calibri" w:cs="Calibri"/>
                <w:sz w:val="22"/>
                <w:szCs w:val="22"/>
              </w:rPr>
              <w:t>course</w:t>
            </w:r>
            <w:proofErr w:type="spellEnd"/>
            <w:r>
              <w:rPr>
                <w:rFonts w:ascii="Calibri" w:hAnsi="Calibri" w:cs="Calibri"/>
                <w:sz w:val="22"/>
                <w:szCs w:val="22"/>
              </w:rPr>
              <w:t xml:space="preserve"> </w:t>
            </w:r>
            <w:proofErr w:type="spellStart"/>
            <w:r>
              <w:rPr>
                <w:rFonts w:ascii="Calibri" w:hAnsi="Calibri" w:cs="Calibri"/>
                <w:sz w:val="22"/>
                <w:szCs w:val="22"/>
              </w:rPr>
              <w:t>description</w:t>
            </w:r>
            <w:proofErr w:type="spellEnd"/>
          </w:p>
        </w:tc>
        <w:tc>
          <w:tcPr>
            <w:tcW w:w="6224" w:type="dxa"/>
            <w:tcBorders>
              <w:top w:val="single" w:sz="4" w:space="0" w:color="auto"/>
              <w:bottom w:val="single" w:sz="4" w:space="0" w:color="auto"/>
            </w:tcBorders>
          </w:tcPr>
          <w:p w14:paraId="402C4884" w14:textId="0180267B" w:rsidR="000F028B" w:rsidRDefault="34CE65FC" w:rsidP="71854CB5">
            <w:pPr>
              <w:spacing w:after="240"/>
              <w:jc w:val="both"/>
            </w:pPr>
            <w:r w:rsidRPr="71854CB5">
              <w:rPr>
                <w:rFonts w:ascii="Calibri" w:eastAsia="Calibri" w:hAnsi="Calibri" w:cs="Calibri"/>
                <w:sz w:val="22"/>
                <w:szCs w:val="22"/>
                <w:lang w:val="en-US"/>
              </w:rPr>
              <w:t>The course introduces students to the foundations and modern challenges of international banking, combining theoretical frameworks with practical insights into the functioning of global financial institutions. The program covers the organization of banking activities, services provided by banks, and their evolving role in the economy under conditions of globalization and rapid technological change.</w:t>
            </w:r>
          </w:p>
        </w:tc>
      </w:tr>
      <w:tr w:rsidR="00DC74F6" w14:paraId="4075F32A" w14:textId="77777777" w:rsidTr="71854CB5">
        <w:tc>
          <w:tcPr>
            <w:tcW w:w="2988" w:type="dxa"/>
            <w:gridSpan w:val="2"/>
          </w:tcPr>
          <w:p w14:paraId="5A55996E" w14:textId="77777777" w:rsidR="00DC74F6" w:rsidRDefault="00DC74F6">
            <w:pPr>
              <w:rPr>
                <w:rFonts w:ascii="Calibri" w:hAnsi="Calibri" w:cs="Calibri"/>
                <w:b/>
                <w:sz w:val="22"/>
                <w:szCs w:val="22"/>
              </w:rPr>
            </w:pPr>
            <w:r>
              <w:rPr>
                <w:rFonts w:ascii="Calibri" w:hAnsi="Calibri" w:cs="Calibri"/>
                <w:sz w:val="22"/>
                <w:szCs w:val="22"/>
              </w:rPr>
              <w:t xml:space="preserve">Full </w:t>
            </w:r>
            <w:proofErr w:type="spellStart"/>
            <w:r>
              <w:rPr>
                <w:rFonts w:ascii="Calibri" w:hAnsi="Calibri" w:cs="Calibri"/>
                <w:sz w:val="22"/>
                <w:szCs w:val="22"/>
              </w:rPr>
              <w:t>course</w:t>
            </w:r>
            <w:proofErr w:type="spellEnd"/>
            <w:r>
              <w:rPr>
                <w:rFonts w:ascii="Calibri" w:hAnsi="Calibri" w:cs="Calibri"/>
                <w:sz w:val="22"/>
                <w:szCs w:val="22"/>
              </w:rPr>
              <w:t xml:space="preserve"> </w:t>
            </w:r>
            <w:proofErr w:type="spellStart"/>
            <w:r>
              <w:rPr>
                <w:rFonts w:ascii="Calibri" w:hAnsi="Calibri" w:cs="Calibri"/>
                <w:sz w:val="22"/>
                <w:szCs w:val="22"/>
              </w:rPr>
              <w:t>description</w:t>
            </w:r>
            <w:proofErr w:type="spellEnd"/>
          </w:p>
        </w:tc>
        <w:tc>
          <w:tcPr>
            <w:tcW w:w="6224" w:type="dxa"/>
            <w:tcBorders>
              <w:bottom w:val="single" w:sz="4" w:space="0" w:color="auto"/>
            </w:tcBorders>
          </w:tcPr>
          <w:p w14:paraId="5D072D36" w14:textId="79653F56" w:rsidR="55222AA4" w:rsidRDefault="55222AA4" w:rsidP="71854CB5">
            <w:pPr>
              <w:spacing w:before="240" w:after="240"/>
              <w:jc w:val="both"/>
            </w:pPr>
            <w:r w:rsidRPr="71854CB5">
              <w:rPr>
                <w:rFonts w:ascii="Calibri" w:eastAsia="Calibri" w:hAnsi="Calibri" w:cs="Calibri"/>
                <w:b/>
                <w:bCs/>
                <w:sz w:val="22"/>
                <w:szCs w:val="22"/>
                <w:lang w:val="en-US"/>
              </w:rPr>
              <w:t>1. The Banking Business and Banking Services</w:t>
            </w:r>
            <w:r>
              <w:br/>
            </w:r>
            <w:r w:rsidRPr="71854CB5">
              <w:rPr>
                <w:rFonts w:ascii="Calibri" w:eastAsia="Calibri" w:hAnsi="Calibri" w:cs="Calibri"/>
                <w:sz w:val="22"/>
                <w:szCs w:val="22"/>
                <w:lang w:val="en-US"/>
              </w:rPr>
              <w:t xml:space="preserve"> The essence of banking as a financial intermediary and the role of banks in mobilizing savings, financing investments, and facilitating payments in the economy. Students will explore the wide spectrum of banking services, including deposit-taking, lending, investment services, payment systems, and advisory functions, as well as the increasing importance of digital and mobile banking in shaping customer expectations.</w:t>
            </w:r>
          </w:p>
          <w:p w14:paraId="02BC1F84" w14:textId="3F3C1E5D" w:rsidR="55222AA4" w:rsidRDefault="55222AA4" w:rsidP="71854CB5">
            <w:pPr>
              <w:spacing w:before="240" w:after="240"/>
              <w:jc w:val="both"/>
            </w:pPr>
            <w:r w:rsidRPr="71854CB5">
              <w:rPr>
                <w:rFonts w:ascii="Calibri" w:eastAsia="Calibri" w:hAnsi="Calibri" w:cs="Calibri"/>
                <w:b/>
                <w:bCs/>
                <w:sz w:val="22"/>
                <w:szCs w:val="22"/>
                <w:lang w:val="en-US"/>
              </w:rPr>
              <w:t>2. Bank Regulation and Supervision – Why Do We Need It?</w:t>
            </w:r>
            <w:r>
              <w:br/>
            </w:r>
            <w:r w:rsidRPr="71854CB5">
              <w:rPr>
                <w:rFonts w:ascii="Calibri" w:eastAsia="Calibri" w:hAnsi="Calibri" w:cs="Calibri"/>
                <w:sz w:val="22"/>
                <w:szCs w:val="22"/>
                <w:lang w:val="en-US"/>
              </w:rPr>
              <w:t xml:space="preserve"> Rationale for regulating banks as systemically important institutions whose stability underpins the broader financial system. The course discusses the goals of regulation (financial stability, consumer protection, and systemic risk mitigation) and the main supervisory approaches applied worldwide. Case studies will illustrate lessons from global financial crises and regulatory reforms.</w:t>
            </w:r>
          </w:p>
          <w:p w14:paraId="3BF05553" w14:textId="410453E6" w:rsidR="55222AA4" w:rsidRDefault="55222AA4" w:rsidP="71854CB5">
            <w:pPr>
              <w:spacing w:before="240" w:after="240"/>
              <w:jc w:val="both"/>
            </w:pPr>
            <w:r w:rsidRPr="71854CB5">
              <w:rPr>
                <w:rFonts w:ascii="Calibri" w:eastAsia="Calibri" w:hAnsi="Calibri" w:cs="Calibri"/>
                <w:b/>
                <w:bCs/>
                <w:sz w:val="22"/>
                <w:szCs w:val="22"/>
                <w:lang w:val="en-US"/>
              </w:rPr>
              <w:t>3. Bank Performance and Risk Analysis</w:t>
            </w:r>
            <w:r>
              <w:br/>
            </w:r>
            <w:r w:rsidRPr="71854CB5">
              <w:rPr>
                <w:rFonts w:ascii="Calibri" w:eastAsia="Calibri" w:hAnsi="Calibri" w:cs="Calibri"/>
                <w:sz w:val="22"/>
                <w:szCs w:val="22"/>
                <w:lang w:val="en-US"/>
              </w:rPr>
              <w:t xml:space="preserve"> Students will learn to interpret bank financial statements (balance sheet, income statement, and cash flow statement) and assess performance using profitability, liquidity, efficiency, and solvency ratios. Special emphasis will be placed on identifying risk factors in banking, both idiosyncratic (e.g., credit portfolio quality, operational inefficiencies) and external (e.g., macroeconomic shocks, market volatility, geopolitical events).</w:t>
            </w:r>
          </w:p>
          <w:p w14:paraId="14E4AE76" w14:textId="42CC827B" w:rsidR="55222AA4" w:rsidRDefault="55222AA4" w:rsidP="71854CB5">
            <w:pPr>
              <w:spacing w:before="240" w:after="240"/>
              <w:jc w:val="both"/>
            </w:pPr>
            <w:r w:rsidRPr="71854CB5">
              <w:rPr>
                <w:rFonts w:ascii="Calibri" w:eastAsia="Calibri" w:hAnsi="Calibri" w:cs="Calibri"/>
                <w:b/>
                <w:bCs/>
                <w:sz w:val="22"/>
                <w:szCs w:val="22"/>
                <w:lang w:val="en-US"/>
              </w:rPr>
              <w:lastRenderedPageBreak/>
              <w:t>4. Banks’ Sources of Funds</w:t>
            </w:r>
            <w:r>
              <w:br/>
            </w:r>
            <w:r w:rsidRPr="71854CB5">
              <w:rPr>
                <w:rFonts w:ascii="Calibri" w:eastAsia="Calibri" w:hAnsi="Calibri" w:cs="Calibri"/>
                <w:sz w:val="22"/>
                <w:szCs w:val="22"/>
                <w:lang w:val="en-US"/>
              </w:rPr>
              <w:t xml:space="preserve"> Analysis of how banks finance their activities: traditional sources such as deposits, equity capital, and interbank borrowing, as well as modern instruments like securitization, subordinated debt, and wholesale funding. The implications of funding structure for bank stability, profitability, and risk exposure will be examined.</w:t>
            </w:r>
          </w:p>
          <w:p w14:paraId="42602B08" w14:textId="709C5277" w:rsidR="55222AA4" w:rsidRDefault="55222AA4" w:rsidP="71854CB5">
            <w:pPr>
              <w:spacing w:before="240" w:after="240"/>
              <w:jc w:val="both"/>
            </w:pPr>
            <w:r w:rsidRPr="71854CB5">
              <w:rPr>
                <w:rFonts w:ascii="Calibri" w:eastAsia="Calibri" w:hAnsi="Calibri" w:cs="Calibri"/>
                <w:b/>
                <w:bCs/>
                <w:sz w:val="22"/>
                <w:szCs w:val="22"/>
                <w:lang w:val="en-US"/>
              </w:rPr>
              <w:t>5. Banking Systems: Comparative Perspectives</w:t>
            </w:r>
            <w:r>
              <w:br/>
            </w:r>
            <w:r w:rsidRPr="71854CB5">
              <w:rPr>
                <w:rFonts w:ascii="Calibri" w:eastAsia="Calibri" w:hAnsi="Calibri" w:cs="Calibri"/>
                <w:sz w:val="22"/>
                <w:szCs w:val="22"/>
                <w:lang w:val="en-US"/>
              </w:rPr>
              <w:t xml:space="preserve"> A comparative analysis of the Anglo-Saxon (market-based) and Continental (bank-based) banking models, with a focus on differences in intermediation, regulation, and corporate governance. The course also reviews the functioning of the European banking system, highlighting the integration of banking markets and the role of EU institutions.</w:t>
            </w:r>
          </w:p>
          <w:p w14:paraId="3BEE59AB" w14:textId="27AC8FE0" w:rsidR="55222AA4" w:rsidRDefault="55222AA4" w:rsidP="71854CB5">
            <w:pPr>
              <w:spacing w:before="240" w:after="240"/>
              <w:jc w:val="both"/>
            </w:pPr>
            <w:r w:rsidRPr="71854CB5">
              <w:rPr>
                <w:rFonts w:ascii="Calibri" w:eastAsia="Calibri" w:hAnsi="Calibri" w:cs="Calibri"/>
                <w:b/>
                <w:bCs/>
                <w:sz w:val="22"/>
                <w:szCs w:val="22"/>
                <w:lang w:val="en-US"/>
              </w:rPr>
              <w:t>6. Supervision and Regulation of Banking in the EU</w:t>
            </w:r>
            <w:r>
              <w:br/>
            </w:r>
            <w:r w:rsidRPr="71854CB5">
              <w:rPr>
                <w:rFonts w:ascii="Calibri" w:eastAsia="Calibri" w:hAnsi="Calibri" w:cs="Calibri"/>
                <w:sz w:val="22"/>
                <w:szCs w:val="22"/>
                <w:lang w:val="en-US"/>
              </w:rPr>
              <w:t xml:space="preserve"> Detailed coverage of </w:t>
            </w:r>
            <w:proofErr w:type="spellStart"/>
            <w:r w:rsidRPr="71854CB5">
              <w:rPr>
                <w:rFonts w:ascii="Calibri" w:eastAsia="Calibri" w:hAnsi="Calibri" w:cs="Calibri"/>
                <w:sz w:val="22"/>
                <w:szCs w:val="22"/>
                <w:lang w:val="en-US"/>
              </w:rPr>
              <w:t>microprudential</w:t>
            </w:r>
            <w:proofErr w:type="spellEnd"/>
            <w:r w:rsidRPr="71854CB5">
              <w:rPr>
                <w:rFonts w:ascii="Calibri" w:eastAsia="Calibri" w:hAnsi="Calibri" w:cs="Calibri"/>
                <w:sz w:val="22"/>
                <w:szCs w:val="22"/>
                <w:lang w:val="en-US"/>
              </w:rPr>
              <w:t xml:space="preserve"> and macroprudential frameworks within the EU, including the role of the European Central Bank (ECB), the Single Supervisory Mechanism (SSM), and the European Banking Authority (EBA). Students will explore capital adequacy standards (Basel III, Basel IV) and their application in European and global contexts, including stress testing, leverage ratios, liquidity coverage ratios (LCR, NSFR), and systemic buffers.</w:t>
            </w:r>
          </w:p>
          <w:p w14:paraId="595F5EBA" w14:textId="54671CE7" w:rsidR="55222AA4" w:rsidRDefault="55222AA4" w:rsidP="71854CB5">
            <w:pPr>
              <w:spacing w:before="240" w:after="240"/>
              <w:jc w:val="both"/>
            </w:pPr>
            <w:r w:rsidRPr="71854CB5">
              <w:rPr>
                <w:rFonts w:ascii="Calibri" w:eastAsia="Calibri" w:hAnsi="Calibri" w:cs="Calibri"/>
                <w:b/>
                <w:bCs/>
                <w:sz w:val="22"/>
                <w:szCs w:val="22"/>
                <w:lang w:val="en-US"/>
              </w:rPr>
              <w:t>7. Risk Management in Banking</w:t>
            </w:r>
            <w:r>
              <w:br/>
            </w:r>
            <w:r w:rsidRPr="71854CB5">
              <w:rPr>
                <w:rFonts w:ascii="Calibri" w:eastAsia="Calibri" w:hAnsi="Calibri" w:cs="Calibri"/>
                <w:sz w:val="22"/>
                <w:szCs w:val="22"/>
                <w:lang w:val="en-US"/>
              </w:rPr>
              <w:t xml:space="preserve"> Comprehensive analysis of key banking risks:</w:t>
            </w:r>
          </w:p>
          <w:p w14:paraId="4F7BC904" w14:textId="75F85865" w:rsidR="55222AA4" w:rsidRDefault="55222AA4" w:rsidP="71854CB5">
            <w:pPr>
              <w:pStyle w:val="Akapitzlist"/>
              <w:numPr>
                <w:ilvl w:val="0"/>
                <w:numId w:val="5"/>
              </w:numPr>
              <w:spacing w:before="240" w:after="240"/>
              <w:jc w:val="both"/>
              <w:rPr>
                <w:rFonts w:ascii="Calibri" w:eastAsia="Calibri" w:hAnsi="Calibri" w:cs="Calibri"/>
                <w:sz w:val="22"/>
                <w:szCs w:val="22"/>
                <w:lang w:val="en-US"/>
              </w:rPr>
            </w:pPr>
            <w:r w:rsidRPr="71854CB5">
              <w:rPr>
                <w:rFonts w:ascii="Calibri" w:eastAsia="Calibri" w:hAnsi="Calibri" w:cs="Calibri"/>
                <w:b/>
                <w:bCs/>
                <w:sz w:val="22"/>
                <w:szCs w:val="22"/>
                <w:lang w:val="en-US"/>
              </w:rPr>
              <w:t>Interest rate risk</w:t>
            </w:r>
            <w:r w:rsidRPr="71854CB5">
              <w:rPr>
                <w:rFonts w:ascii="Calibri" w:eastAsia="Calibri" w:hAnsi="Calibri" w:cs="Calibri"/>
                <w:sz w:val="22"/>
                <w:szCs w:val="22"/>
                <w:lang w:val="en-US"/>
              </w:rPr>
              <w:t xml:space="preserve"> – impact of changing rates on banks’ balance sheets and profitability; tools such as duration gap analysis</w:t>
            </w:r>
            <w:r w:rsidR="429C3DD0" w:rsidRPr="71854CB5">
              <w:rPr>
                <w:rFonts w:ascii="Calibri" w:eastAsia="Calibri" w:hAnsi="Calibri" w:cs="Calibri"/>
                <w:sz w:val="22"/>
                <w:szCs w:val="22"/>
                <w:lang w:val="en-US"/>
              </w:rPr>
              <w:t>;</w:t>
            </w:r>
          </w:p>
          <w:p w14:paraId="4E225476" w14:textId="3E87C7D1" w:rsidR="55222AA4" w:rsidRDefault="55222AA4" w:rsidP="71854CB5">
            <w:pPr>
              <w:pStyle w:val="Akapitzlist"/>
              <w:numPr>
                <w:ilvl w:val="0"/>
                <w:numId w:val="5"/>
              </w:numPr>
              <w:spacing w:before="240" w:after="240"/>
              <w:jc w:val="both"/>
              <w:rPr>
                <w:rFonts w:ascii="Calibri" w:eastAsia="Calibri" w:hAnsi="Calibri" w:cs="Calibri"/>
                <w:sz w:val="22"/>
                <w:szCs w:val="22"/>
                <w:lang w:val="en-US"/>
              </w:rPr>
            </w:pPr>
            <w:r w:rsidRPr="71854CB5">
              <w:rPr>
                <w:rFonts w:ascii="Calibri" w:eastAsia="Calibri" w:hAnsi="Calibri" w:cs="Calibri"/>
                <w:b/>
                <w:bCs/>
                <w:sz w:val="22"/>
                <w:szCs w:val="22"/>
                <w:lang w:val="en-US"/>
              </w:rPr>
              <w:t>Currency risk</w:t>
            </w:r>
            <w:r w:rsidRPr="71854CB5">
              <w:rPr>
                <w:rFonts w:ascii="Calibri" w:eastAsia="Calibri" w:hAnsi="Calibri" w:cs="Calibri"/>
                <w:sz w:val="22"/>
                <w:szCs w:val="22"/>
                <w:lang w:val="en-US"/>
              </w:rPr>
              <w:t xml:space="preserve"> – exposure from international operations and cross-border activities, hedging strategies with derivatives</w:t>
            </w:r>
            <w:r w:rsidR="018F1284" w:rsidRPr="71854CB5">
              <w:rPr>
                <w:rFonts w:ascii="Calibri" w:eastAsia="Calibri" w:hAnsi="Calibri" w:cs="Calibri"/>
                <w:sz w:val="22"/>
                <w:szCs w:val="22"/>
                <w:lang w:val="en-US"/>
              </w:rPr>
              <w:t>;</w:t>
            </w:r>
          </w:p>
          <w:p w14:paraId="658FC830" w14:textId="7CD9C3C6" w:rsidR="55222AA4" w:rsidRDefault="55222AA4" w:rsidP="71854CB5">
            <w:pPr>
              <w:pStyle w:val="Akapitzlist"/>
              <w:numPr>
                <w:ilvl w:val="0"/>
                <w:numId w:val="5"/>
              </w:numPr>
              <w:spacing w:before="240" w:after="240"/>
              <w:jc w:val="both"/>
              <w:rPr>
                <w:rFonts w:ascii="Calibri" w:eastAsia="Calibri" w:hAnsi="Calibri" w:cs="Calibri"/>
                <w:sz w:val="22"/>
                <w:szCs w:val="22"/>
                <w:lang w:val="en-US"/>
              </w:rPr>
            </w:pPr>
            <w:r w:rsidRPr="71854CB5">
              <w:rPr>
                <w:rFonts w:ascii="Calibri" w:eastAsia="Calibri" w:hAnsi="Calibri" w:cs="Calibri"/>
                <w:b/>
                <w:bCs/>
                <w:sz w:val="22"/>
                <w:szCs w:val="22"/>
                <w:lang w:val="en-US"/>
              </w:rPr>
              <w:t>Credit risk</w:t>
            </w:r>
            <w:r w:rsidRPr="71854CB5">
              <w:rPr>
                <w:rFonts w:ascii="Calibri" w:eastAsia="Calibri" w:hAnsi="Calibri" w:cs="Calibri"/>
                <w:sz w:val="22"/>
                <w:szCs w:val="22"/>
                <w:lang w:val="en-US"/>
              </w:rPr>
              <w:t xml:space="preserve"> – evaluation of borrower creditworthiness, rating and scoring models, portfolio diversification, and securitization</w:t>
            </w:r>
            <w:r w:rsidR="0CA424BD" w:rsidRPr="71854CB5">
              <w:rPr>
                <w:rFonts w:ascii="Calibri" w:eastAsia="Calibri" w:hAnsi="Calibri" w:cs="Calibri"/>
                <w:sz w:val="22"/>
                <w:szCs w:val="22"/>
                <w:lang w:val="en-US"/>
              </w:rPr>
              <w:t>;</w:t>
            </w:r>
          </w:p>
          <w:p w14:paraId="55872D71" w14:textId="07763DF6" w:rsidR="55222AA4" w:rsidRDefault="55222AA4" w:rsidP="71854CB5">
            <w:pPr>
              <w:pStyle w:val="Akapitzlist"/>
              <w:numPr>
                <w:ilvl w:val="0"/>
                <w:numId w:val="5"/>
              </w:numPr>
              <w:spacing w:before="240" w:after="240"/>
              <w:jc w:val="both"/>
              <w:rPr>
                <w:rFonts w:ascii="Calibri" w:eastAsia="Calibri" w:hAnsi="Calibri" w:cs="Calibri"/>
                <w:sz w:val="22"/>
                <w:szCs w:val="22"/>
                <w:lang w:val="en-US"/>
              </w:rPr>
            </w:pPr>
            <w:r w:rsidRPr="71854CB5">
              <w:rPr>
                <w:rFonts w:ascii="Calibri" w:eastAsia="Calibri" w:hAnsi="Calibri" w:cs="Calibri"/>
                <w:b/>
                <w:bCs/>
                <w:sz w:val="22"/>
                <w:szCs w:val="22"/>
                <w:lang w:val="en-US"/>
              </w:rPr>
              <w:t>Liquidity risk</w:t>
            </w:r>
            <w:r w:rsidRPr="71854CB5">
              <w:rPr>
                <w:rFonts w:ascii="Calibri" w:eastAsia="Calibri" w:hAnsi="Calibri" w:cs="Calibri"/>
                <w:sz w:val="22"/>
                <w:szCs w:val="22"/>
                <w:lang w:val="en-US"/>
              </w:rPr>
              <w:t xml:space="preserve"> – challenges of balancing short-term obligations with long-term lending, liquidity stress tests, and central bank facilities</w:t>
            </w:r>
            <w:r w:rsidR="7CCE120A" w:rsidRPr="71854CB5">
              <w:rPr>
                <w:rFonts w:ascii="Calibri" w:eastAsia="Calibri" w:hAnsi="Calibri" w:cs="Calibri"/>
                <w:sz w:val="22"/>
                <w:szCs w:val="22"/>
                <w:lang w:val="en-US"/>
              </w:rPr>
              <w:t>;</w:t>
            </w:r>
          </w:p>
          <w:p w14:paraId="12BD92D2" w14:textId="36C6D2E9" w:rsidR="55222AA4" w:rsidRDefault="55222AA4" w:rsidP="71854CB5">
            <w:pPr>
              <w:pStyle w:val="Akapitzlist"/>
              <w:numPr>
                <w:ilvl w:val="0"/>
                <w:numId w:val="5"/>
              </w:numPr>
              <w:spacing w:before="240" w:after="240"/>
              <w:jc w:val="both"/>
              <w:rPr>
                <w:rFonts w:ascii="Calibri" w:eastAsia="Calibri" w:hAnsi="Calibri" w:cs="Calibri"/>
                <w:sz w:val="22"/>
                <w:szCs w:val="22"/>
                <w:lang w:val="en-US"/>
              </w:rPr>
            </w:pPr>
            <w:r w:rsidRPr="71854CB5">
              <w:rPr>
                <w:rFonts w:ascii="Calibri" w:eastAsia="Calibri" w:hAnsi="Calibri" w:cs="Calibri"/>
                <w:b/>
                <w:bCs/>
                <w:sz w:val="22"/>
                <w:szCs w:val="22"/>
                <w:lang w:val="en-US"/>
              </w:rPr>
              <w:t>Operational risk</w:t>
            </w:r>
            <w:r w:rsidRPr="71854CB5">
              <w:rPr>
                <w:rFonts w:ascii="Calibri" w:eastAsia="Calibri" w:hAnsi="Calibri" w:cs="Calibri"/>
                <w:sz w:val="22"/>
                <w:szCs w:val="22"/>
                <w:lang w:val="en-US"/>
              </w:rPr>
              <w:t xml:space="preserve"> – risks arising from internal processes, cyber threats, and human error; methods of identification and capital requirements.</w:t>
            </w:r>
          </w:p>
          <w:p w14:paraId="2E45BF63" w14:textId="66088B47" w:rsidR="55222AA4" w:rsidRDefault="55222AA4" w:rsidP="71854CB5">
            <w:pPr>
              <w:spacing w:before="240" w:after="240"/>
              <w:jc w:val="both"/>
            </w:pPr>
            <w:r w:rsidRPr="71854CB5">
              <w:rPr>
                <w:rFonts w:ascii="Calibri" w:eastAsia="Calibri" w:hAnsi="Calibri" w:cs="Calibri"/>
                <w:b/>
                <w:bCs/>
                <w:sz w:val="22"/>
                <w:szCs w:val="22"/>
                <w:lang w:val="en-US"/>
              </w:rPr>
              <w:t>8. Emerging Trends in Global Banking</w:t>
            </w:r>
            <w:r>
              <w:br/>
            </w:r>
            <w:r w:rsidRPr="71854CB5">
              <w:rPr>
                <w:rFonts w:ascii="Calibri" w:eastAsia="Calibri" w:hAnsi="Calibri" w:cs="Calibri"/>
                <w:sz w:val="22"/>
                <w:szCs w:val="22"/>
                <w:lang w:val="en-US"/>
              </w:rPr>
              <w:t xml:space="preserve"> Discussion of new forces shaping the global banking industry:</w:t>
            </w:r>
          </w:p>
          <w:p w14:paraId="64B6841E" w14:textId="6DC071CC" w:rsidR="55222AA4" w:rsidRDefault="55222AA4" w:rsidP="71854CB5">
            <w:pPr>
              <w:pStyle w:val="Akapitzlist"/>
              <w:numPr>
                <w:ilvl w:val="0"/>
                <w:numId w:val="4"/>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 xml:space="preserve">The growing role of FinTech firms in payments, lending, and investment services, as well as the challenge of </w:t>
            </w:r>
            <w:proofErr w:type="spellStart"/>
            <w:r w:rsidRPr="71854CB5">
              <w:rPr>
                <w:rFonts w:ascii="Calibri" w:eastAsia="Calibri" w:hAnsi="Calibri" w:cs="Calibri"/>
                <w:sz w:val="22"/>
                <w:szCs w:val="22"/>
                <w:lang w:val="en-US"/>
              </w:rPr>
              <w:t>BigTech</w:t>
            </w:r>
            <w:proofErr w:type="spellEnd"/>
            <w:r w:rsidRPr="71854CB5">
              <w:rPr>
                <w:rFonts w:ascii="Calibri" w:eastAsia="Calibri" w:hAnsi="Calibri" w:cs="Calibri"/>
                <w:sz w:val="22"/>
                <w:szCs w:val="22"/>
                <w:lang w:val="en-US"/>
              </w:rPr>
              <w:t xml:space="preserve"> entry into financial markets</w:t>
            </w:r>
            <w:r w:rsidR="36F441D0" w:rsidRPr="71854CB5">
              <w:rPr>
                <w:rFonts w:ascii="Calibri" w:eastAsia="Calibri" w:hAnsi="Calibri" w:cs="Calibri"/>
                <w:sz w:val="22"/>
                <w:szCs w:val="22"/>
                <w:lang w:val="en-US"/>
              </w:rPr>
              <w:t>;</w:t>
            </w:r>
          </w:p>
          <w:p w14:paraId="7577ADCA" w14:textId="442E9884" w:rsidR="55222AA4" w:rsidRDefault="55222AA4" w:rsidP="71854CB5">
            <w:pPr>
              <w:pStyle w:val="Akapitzlist"/>
              <w:numPr>
                <w:ilvl w:val="0"/>
                <w:numId w:val="4"/>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Digital transformation of banks – blockchain, cryptocurrencies, central bank digital currencies (CBDCs), and AI applications in compliance and risk management</w:t>
            </w:r>
            <w:r w:rsidR="0A3BC9C5" w:rsidRPr="71854CB5">
              <w:rPr>
                <w:rFonts w:ascii="Calibri" w:eastAsia="Calibri" w:hAnsi="Calibri" w:cs="Calibri"/>
                <w:sz w:val="22"/>
                <w:szCs w:val="22"/>
                <w:lang w:val="en-US"/>
              </w:rPr>
              <w:t>;</w:t>
            </w:r>
          </w:p>
          <w:p w14:paraId="445D79F0" w14:textId="718B606F" w:rsidR="55222AA4" w:rsidRDefault="55222AA4" w:rsidP="71854CB5">
            <w:pPr>
              <w:pStyle w:val="Akapitzlist"/>
              <w:numPr>
                <w:ilvl w:val="0"/>
                <w:numId w:val="4"/>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The rise of sustainable and green banking, ESG factors in bank lending, and climate-related risks in the financial sector</w:t>
            </w:r>
            <w:r w:rsidR="411F6145" w:rsidRPr="71854CB5">
              <w:rPr>
                <w:rFonts w:ascii="Calibri" w:eastAsia="Calibri" w:hAnsi="Calibri" w:cs="Calibri"/>
                <w:sz w:val="22"/>
                <w:szCs w:val="22"/>
                <w:lang w:val="en-US"/>
              </w:rPr>
              <w:t>;</w:t>
            </w:r>
          </w:p>
          <w:p w14:paraId="746A84C5" w14:textId="1D7F2C4F" w:rsidR="55222AA4" w:rsidRDefault="55222AA4" w:rsidP="71854CB5">
            <w:pPr>
              <w:pStyle w:val="Akapitzlist"/>
              <w:numPr>
                <w:ilvl w:val="0"/>
                <w:numId w:val="4"/>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lastRenderedPageBreak/>
              <w:t>Post-pandemic challenges, resilience building, and the role of banks in financing energy transition and innovation.</w:t>
            </w:r>
          </w:p>
          <w:p w14:paraId="6F628BA4" w14:textId="50DD9B58" w:rsidR="55222AA4" w:rsidRDefault="55222AA4" w:rsidP="71854CB5">
            <w:pPr>
              <w:spacing w:before="240" w:after="240"/>
              <w:jc w:val="both"/>
            </w:pPr>
            <w:r w:rsidRPr="71854CB5">
              <w:rPr>
                <w:rFonts w:ascii="Calibri" w:eastAsia="Calibri" w:hAnsi="Calibri" w:cs="Calibri"/>
                <w:b/>
                <w:bCs/>
                <w:sz w:val="22"/>
                <w:szCs w:val="22"/>
                <w:lang w:val="en-US"/>
              </w:rPr>
              <w:t>9. Case Studies and Practical Applications</w:t>
            </w:r>
            <w:r>
              <w:br/>
            </w:r>
            <w:r w:rsidRPr="71854CB5">
              <w:rPr>
                <w:rFonts w:ascii="Calibri" w:eastAsia="Calibri" w:hAnsi="Calibri" w:cs="Calibri"/>
                <w:sz w:val="22"/>
                <w:szCs w:val="22"/>
                <w:lang w:val="en-US"/>
              </w:rPr>
              <w:t xml:space="preserve"> Through real-world case studies, students will critically analyze major issues in international banking, including bank failures, cross-border resolution mechanisms, and the interplay between regulation, innovation, and competition in shaping the future of the industry.</w:t>
            </w:r>
          </w:p>
          <w:p w14:paraId="0E27B00A" w14:textId="1A0D8CFD" w:rsidR="009C13A8" w:rsidRDefault="009C13A8" w:rsidP="71854CB5">
            <w:pPr>
              <w:jc w:val="both"/>
              <w:rPr>
                <w:rFonts w:ascii="Calibri" w:hAnsi="Calibri" w:cs="Calibri"/>
                <w:sz w:val="22"/>
                <w:szCs w:val="22"/>
                <w:lang w:val="en-US"/>
              </w:rPr>
            </w:pPr>
          </w:p>
          <w:p w14:paraId="59D63BFA" w14:textId="77777777" w:rsidR="009C13A8" w:rsidRDefault="009C13A8" w:rsidP="009C13A8">
            <w:pPr>
              <w:rPr>
                <w:rFonts w:ascii="Calibri" w:hAnsi="Calibri" w:cs="Calibri"/>
                <w:sz w:val="22"/>
                <w:szCs w:val="22"/>
                <w:lang w:val="en-US"/>
              </w:rPr>
            </w:pPr>
            <w:r>
              <w:rPr>
                <w:rFonts w:ascii="Calibri" w:hAnsi="Calibri" w:cs="Calibri"/>
                <w:sz w:val="22"/>
                <w:szCs w:val="22"/>
                <w:lang w:val="en-US"/>
              </w:rPr>
              <w:t>Total Hours - Student Workload (4 ECTS - 100 hours):</w:t>
            </w:r>
          </w:p>
          <w:p w14:paraId="478003CD" w14:textId="77777777" w:rsidR="009C13A8" w:rsidRDefault="009C13A8" w:rsidP="009C13A8">
            <w:pPr>
              <w:rPr>
                <w:rFonts w:ascii="Calibri" w:hAnsi="Calibri" w:cs="Calibri"/>
                <w:sz w:val="22"/>
                <w:szCs w:val="22"/>
                <w:lang w:val="en-US"/>
              </w:rPr>
            </w:pPr>
            <w:r>
              <w:rPr>
                <w:rFonts w:ascii="Calibri" w:hAnsi="Calibri" w:cs="Calibri"/>
                <w:sz w:val="22"/>
                <w:szCs w:val="22"/>
                <w:lang w:val="en-US"/>
              </w:rPr>
              <w:t>Class Sessions (Including Assessment and Examination) - 30 hours</w:t>
            </w:r>
          </w:p>
          <w:p w14:paraId="44B04907" w14:textId="77777777" w:rsidR="009C13A8" w:rsidRDefault="009C13A8" w:rsidP="009C13A8">
            <w:pPr>
              <w:rPr>
                <w:rFonts w:ascii="Calibri" w:hAnsi="Calibri" w:cs="Calibri"/>
                <w:sz w:val="22"/>
                <w:szCs w:val="22"/>
                <w:lang w:val="en-US"/>
              </w:rPr>
            </w:pPr>
            <w:r>
              <w:rPr>
                <w:rFonts w:ascii="Calibri" w:hAnsi="Calibri" w:cs="Calibri"/>
                <w:sz w:val="22"/>
                <w:szCs w:val="22"/>
                <w:lang w:val="en-US"/>
              </w:rPr>
              <w:t>Reading Literature for Classes - 20 hours</w:t>
            </w:r>
          </w:p>
          <w:p w14:paraId="60061E4C" w14:textId="264AA462" w:rsidR="009C13A8" w:rsidRDefault="009C13A8" w:rsidP="71854CB5">
            <w:pPr>
              <w:rPr>
                <w:rFonts w:ascii="Calibri" w:hAnsi="Calibri" w:cs="Calibri"/>
                <w:sz w:val="22"/>
                <w:szCs w:val="22"/>
                <w:lang w:val="en-US"/>
              </w:rPr>
            </w:pPr>
            <w:r w:rsidRPr="71854CB5">
              <w:rPr>
                <w:rFonts w:ascii="Calibri" w:hAnsi="Calibri" w:cs="Calibri"/>
                <w:sz w:val="22"/>
                <w:szCs w:val="22"/>
                <w:lang w:val="en-US"/>
              </w:rPr>
              <w:t>Preparing Assignments - 50 hours</w:t>
            </w:r>
          </w:p>
        </w:tc>
      </w:tr>
      <w:tr w:rsidR="00DC74F6" w14:paraId="4C5179C7" w14:textId="77777777" w:rsidTr="71854CB5">
        <w:trPr>
          <w:cantSplit/>
        </w:trPr>
        <w:tc>
          <w:tcPr>
            <w:tcW w:w="1494" w:type="dxa"/>
            <w:vMerge w:val="restart"/>
          </w:tcPr>
          <w:p w14:paraId="6C977A1D" w14:textId="77777777" w:rsidR="00DC74F6" w:rsidRDefault="00DC74F6">
            <w:pPr>
              <w:rPr>
                <w:rFonts w:ascii="Calibri" w:hAnsi="Calibri" w:cs="Calibri"/>
                <w:sz w:val="22"/>
                <w:szCs w:val="22"/>
              </w:rPr>
            </w:pPr>
            <w:proofErr w:type="spellStart"/>
            <w:r>
              <w:rPr>
                <w:rFonts w:ascii="Calibri" w:hAnsi="Calibri" w:cs="Calibri"/>
                <w:sz w:val="22"/>
                <w:szCs w:val="22"/>
              </w:rPr>
              <w:lastRenderedPageBreak/>
              <w:t>Prerquisites</w:t>
            </w:r>
            <w:proofErr w:type="spellEnd"/>
          </w:p>
        </w:tc>
        <w:tc>
          <w:tcPr>
            <w:tcW w:w="1494" w:type="dxa"/>
          </w:tcPr>
          <w:p w14:paraId="029A2CB8" w14:textId="77777777" w:rsidR="00DC74F6" w:rsidRDefault="00DC74F6">
            <w:pPr>
              <w:rPr>
                <w:rFonts w:ascii="Calibri" w:hAnsi="Calibri" w:cs="Calibri"/>
                <w:sz w:val="22"/>
                <w:szCs w:val="22"/>
              </w:rPr>
            </w:pPr>
            <w:proofErr w:type="spellStart"/>
            <w:r>
              <w:rPr>
                <w:rFonts w:ascii="Calibri" w:hAnsi="Calibri" w:cs="Calibri"/>
                <w:sz w:val="22"/>
                <w:szCs w:val="22"/>
              </w:rPr>
              <w:t>Formal</w:t>
            </w:r>
            <w:proofErr w:type="spellEnd"/>
            <w:r>
              <w:rPr>
                <w:rFonts w:ascii="Calibri" w:hAnsi="Calibri" w:cs="Calibri"/>
                <w:sz w:val="22"/>
                <w:szCs w:val="22"/>
              </w:rPr>
              <w:t xml:space="preserve"> </w:t>
            </w:r>
          </w:p>
          <w:p w14:paraId="22FC3457" w14:textId="77777777" w:rsidR="00DC74F6" w:rsidRDefault="00DC74F6">
            <w:pPr>
              <w:rPr>
                <w:rFonts w:ascii="Calibri" w:hAnsi="Calibri" w:cs="Calibri"/>
                <w:sz w:val="22"/>
                <w:szCs w:val="22"/>
              </w:rPr>
            </w:pPr>
            <w:proofErr w:type="spellStart"/>
            <w:r>
              <w:rPr>
                <w:rFonts w:ascii="Calibri" w:hAnsi="Calibri" w:cs="Calibri"/>
                <w:sz w:val="22"/>
                <w:szCs w:val="22"/>
              </w:rPr>
              <w:t>prerquisites</w:t>
            </w:r>
            <w:proofErr w:type="spellEnd"/>
          </w:p>
        </w:tc>
        <w:tc>
          <w:tcPr>
            <w:tcW w:w="6224" w:type="dxa"/>
            <w:tcBorders>
              <w:top w:val="single" w:sz="4" w:space="0" w:color="auto"/>
            </w:tcBorders>
          </w:tcPr>
          <w:p w14:paraId="49754AE6" w14:textId="77777777" w:rsidR="00B64AFF" w:rsidRDefault="00A60851">
            <w:pPr>
              <w:jc w:val="both"/>
              <w:rPr>
                <w:rFonts w:ascii="Calibri" w:hAnsi="Calibri" w:cs="Calibri"/>
                <w:sz w:val="22"/>
                <w:szCs w:val="22"/>
                <w:lang w:val="en-US"/>
              </w:rPr>
            </w:pPr>
            <w:r>
              <w:rPr>
                <w:rFonts w:ascii="Calibri" w:hAnsi="Calibri" w:cs="Calibri"/>
                <w:sz w:val="22"/>
                <w:szCs w:val="22"/>
                <w:lang w:val="en-US"/>
              </w:rPr>
              <w:t>Completed course in economics and basics of finance</w:t>
            </w:r>
          </w:p>
        </w:tc>
      </w:tr>
      <w:tr w:rsidR="00DC74F6" w14:paraId="0451996B" w14:textId="77777777" w:rsidTr="71854CB5">
        <w:trPr>
          <w:cantSplit/>
        </w:trPr>
        <w:tc>
          <w:tcPr>
            <w:tcW w:w="1494" w:type="dxa"/>
            <w:vMerge/>
          </w:tcPr>
          <w:p w14:paraId="44EAFD9C" w14:textId="77777777" w:rsidR="00DC74F6" w:rsidRDefault="00DC74F6">
            <w:pPr>
              <w:rPr>
                <w:rFonts w:ascii="Calibri" w:hAnsi="Calibri" w:cs="Calibri"/>
                <w:sz w:val="22"/>
                <w:szCs w:val="22"/>
                <w:lang w:val="en-US"/>
              </w:rPr>
            </w:pPr>
          </w:p>
        </w:tc>
        <w:tc>
          <w:tcPr>
            <w:tcW w:w="1494" w:type="dxa"/>
          </w:tcPr>
          <w:p w14:paraId="7B9DABE5" w14:textId="77777777" w:rsidR="00DC74F6" w:rsidRDefault="00DC74F6">
            <w:pPr>
              <w:rPr>
                <w:rFonts w:ascii="Calibri" w:hAnsi="Calibri" w:cs="Calibri"/>
                <w:sz w:val="22"/>
                <w:szCs w:val="22"/>
              </w:rPr>
            </w:pPr>
            <w:proofErr w:type="spellStart"/>
            <w:r>
              <w:rPr>
                <w:rFonts w:ascii="Calibri" w:hAnsi="Calibri" w:cs="Calibri"/>
                <w:sz w:val="22"/>
                <w:szCs w:val="22"/>
              </w:rPr>
              <w:t>other</w:t>
            </w:r>
            <w:proofErr w:type="spellEnd"/>
            <w:r>
              <w:rPr>
                <w:rFonts w:ascii="Calibri" w:hAnsi="Calibri" w:cs="Calibri"/>
                <w:sz w:val="22"/>
                <w:szCs w:val="22"/>
              </w:rPr>
              <w:t xml:space="preserve"> </w:t>
            </w:r>
            <w:proofErr w:type="spellStart"/>
            <w:r>
              <w:rPr>
                <w:rFonts w:ascii="Calibri" w:hAnsi="Calibri" w:cs="Calibri"/>
                <w:sz w:val="22"/>
                <w:szCs w:val="22"/>
              </w:rPr>
              <w:t>prerquisites</w:t>
            </w:r>
            <w:proofErr w:type="spellEnd"/>
          </w:p>
        </w:tc>
        <w:tc>
          <w:tcPr>
            <w:tcW w:w="6224" w:type="dxa"/>
          </w:tcPr>
          <w:p w14:paraId="280EF5BE" w14:textId="77777777" w:rsidR="00B64AFF" w:rsidRDefault="00B64AFF" w:rsidP="00B64AFF">
            <w:pPr>
              <w:jc w:val="both"/>
              <w:rPr>
                <w:rFonts w:ascii="Calibri" w:hAnsi="Calibri" w:cs="Calibri"/>
                <w:sz w:val="22"/>
                <w:szCs w:val="22"/>
                <w:lang w:val="en-US"/>
              </w:rPr>
            </w:pPr>
            <w:r>
              <w:rPr>
                <w:rFonts w:ascii="Calibri" w:hAnsi="Calibri" w:cs="Calibri"/>
                <w:sz w:val="22"/>
                <w:szCs w:val="22"/>
                <w:lang w:val="en-US"/>
              </w:rPr>
              <w:t>Completed course in economics</w:t>
            </w:r>
            <w:r w:rsidR="00A60851">
              <w:rPr>
                <w:rFonts w:ascii="Calibri" w:hAnsi="Calibri" w:cs="Calibri"/>
                <w:sz w:val="22"/>
                <w:szCs w:val="22"/>
                <w:lang w:val="en-US"/>
              </w:rPr>
              <w:t xml:space="preserve"> and knowledge of money creation, role of regulations in the economy</w:t>
            </w:r>
            <w:r>
              <w:rPr>
                <w:rFonts w:ascii="Calibri" w:hAnsi="Calibri" w:cs="Calibri"/>
                <w:sz w:val="22"/>
                <w:szCs w:val="22"/>
                <w:lang w:val="en-US"/>
              </w:rPr>
              <w:t xml:space="preserve">; </w:t>
            </w:r>
          </w:p>
          <w:p w14:paraId="7865D619" w14:textId="77777777" w:rsidR="00DC74F6" w:rsidRDefault="00B64AFF" w:rsidP="00B64AFF">
            <w:pPr>
              <w:jc w:val="both"/>
              <w:rPr>
                <w:rFonts w:ascii="Calibri" w:hAnsi="Calibri" w:cs="Calibri"/>
                <w:sz w:val="22"/>
                <w:szCs w:val="22"/>
                <w:lang w:val="en-US"/>
              </w:rPr>
            </w:pPr>
            <w:r>
              <w:rPr>
                <w:rFonts w:ascii="Calibri" w:hAnsi="Calibri" w:cs="Calibri"/>
                <w:sz w:val="22"/>
                <w:szCs w:val="22"/>
                <w:lang w:val="en-US"/>
              </w:rPr>
              <w:t>Basic quantitative skills</w:t>
            </w:r>
          </w:p>
        </w:tc>
      </w:tr>
      <w:tr w:rsidR="00A60851" w14:paraId="5CA3157D" w14:textId="77777777" w:rsidTr="71854CB5">
        <w:tc>
          <w:tcPr>
            <w:tcW w:w="2988" w:type="dxa"/>
            <w:gridSpan w:val="2"/>
          </w:tcPr>
          <w:p w14:paraId="22CF3244" w14:textId="77777777" w:rsidR="00A60851" w:rsidRDefault="00A60851" w:rsidP="00A60851">
            <w:pPr>
              <w:rPr>
                <w:rFonts w:ascii="Calibri" w:hAnsi="Calibri" w:cs="Calibri"/>
                <w:sz w:val="22"/>
                <w:szCs w:val="22"/>
              </w:rPr>
            </w:pPr>
            <w:r>
              <w:rPr>
                <w:rFonts w:ascii="Calibri" w:hAnsi="Calibri" w:cs="Calibri"/>
                <w:sz w:val="22"/>
                <w:szCs w:val="22"/>
              </w:rPr>
              <w:t xml:space="preserve">Learning </w:t>
            </w:r>
            <w:proofErr w:type="spellStart"/>
            <w:r>
              <w:rPr>
                <w:rFonts w:ascii="Calibri" w:hAnsi="Calibri" w:cs="Calibri"/>
                <w:sz w:val="22"/>
                <w:szCs w:val="22"/>
              </w:rPr>
              <w:t>outcomes</w:t>
            </w:r>
            <w:proofErr w:type="spellEnd"/>
          </w:p>
        </w:tc>
        <w:tc>
          <w:tcPr>
            <w:tcW w:w="6224" w:type="dxa"/>
          </w:tcPr>
          <w:p w14:paraId="146A8AC9" w14:textId="752D080E" w:rsidR="00C65842" w:rsidRDefault="49C1C106" w:rsidP="71854CB5">
            <w:pPr>
              <w:spacing w:after="240"/>
              <w:jc w:val="both"/>
            </w:pPr>
            <w:r w:rsidRPr="71854CB5">
              <w:rPr>
                <w:rFonts w:ascii="Calibri" w:eastAsia="Calibri" w:hAnsi="Calibri" w:cs="Calibri"/>
                <w:b/>
                <w:bCs/>
                <w:sz w:val="22"/>
                <w:szCs w:val="22"/>
                <w:lang w:val="en-US"/>
              </w:rPr>
              <w:t>The student knows and understands:</w:t>
            </w:r>
          </w:p>
          <w:p w14:paraId="156024AE" w14:textId="4C0BE993" w:rsidR="00C65842" w:rsidRDefault="49C1C106" w:rsidP="71854CB5">
            <w:pPr>
              <w:pStyle w:val="Akapitzlist"/>
              <w:numPr>
                <w:ilvl w:val="0"/>
                <w:numId w:val="3"/>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what is the basic definition of banking business and what services are delivered by banks (S2_W01, S2_W03);</w:t>
            </w:r>
          </w:p>
          <w:p w14:paraId="07117FD0" w14:textId="7837832E" w:rsidR="00C65842" w:rsidRDefault="49C1C106" w:rsidP="71854CB5">
            <w:pPr>
              <w:pStyle w:val="Akapitzlist"/>
              <w:numPr>
                <w:ilvl w:val="0"/>
                <w:numId w:val="3"/>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why banks are regulated and supervised, including the objectives of prudential oversight and systemic stability (S2_W03);</w:t>
            </w:r>
          </w:p>
          <w:p w14:paraId="0BE4C051" w14:textId="38B0F8F6" w:rsidR="00C65842" w:rsidRDefault="49C1C106" w:rsidP="71854CB5">
            <w:pPr>
              <w:pStyle w:val="Akapitzlist"/>
              <w:numPr>
                <w:ilvl w:val="0"/>
                <w:numId w:val="3"/>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what reliable sources of knowledge and data on banking activities are available and how to use them (S2_W03);</w:t>
            </w:r>
          </w:p>
          <w:p w14:paraId="791C529D" w14:textId="0229DF63" w:rsidR="00C65842" w:rsidRDefault="49C1C106" w:rsidP="71854CB5">
            <w:pPr>
              <w:pStyle w:val="Akapitzlist"/>
              <w:numPr>
                <w:ilvl w:val="0"/>
                <w:numId w:val="3"/>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what factors affect bank risk and efficiency, both idiosyncratic and external (S2_W05);</w:t>
            </w:r>
          </w:p>
          <w:p w14:paraId="23444391" w14:textId="38BD9BBA" w:rsidR="00C65842" w:rsidRDefault="49C1C106" w:rsidP="71854CB5">
            <w:pPr>
              <w:pStyle w:val="Akapitzlist"/>
              <w:numPr>
                <w:ilvl w:val="0"/>
                <w:numId w:val="3"/>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what is the structure of a bank’s balance sheet and how it reflects the organization of banking activities (S2_W05);</w:t>
            </w:r>
          </w:p>
          <w:p w14:paraId="7C27B2DF" w14:textId="568EBF7C" w:rsidR="00C65842" w:rsidRDefault="49C1C106" w:rsidP="71854CB5">
            <w:pPr>
              <w:pStyle w:val="Akapitzlist"/>
              <w:numPr>
                <w:ilvl w:val="0"/>
                <w:numId w:val="3"/>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what are the main criteria for assessing the financial condition of banks, based on reliable references and literature (S2_W05).</w:t>
            </w:r>
          </w:p>
          <w:p w14:paraId="3A2EB83E" w14:textId="25CD0E85" w:rsidR="00C65842" w:rsidRDefault="49C1C106" w:rsidP="71854CB5">
            <w:pPr>
              <w:spacing w:before="240" w:after="240"/>
              <w:jc w:val="both"/>
            </w:pPr>
            <w:r w:rsidRPr="71854CB5">
              <w:rPr>
                <w:rFonts w:ascii="Calibri" w:eastAsia="Calibri" w:hAnsi="Calibri" w:cs="Calibri"/>
                <w:b/>
                <w:bCs/>
                <w:sz w:val="22"/>
                <w:szCs w:val="22"/>
                <w:lang w:val="en-US"/>
              </w:rPr>
              <w:t>The student is able to:</w:t>
            </w:r>
          </w:p>
          <w:p w14:paraId="6F09CFCA" w14:textId="3AB7CFF1" w:rsidR="00C65842" w:rsidRDefault="49C1C106" w:rsidP="71854CB5">
            <w:pPr>
              <w:pStyle w:val="Akapitzlist"/>
              <w:numPr>
                <w:ilvl w:val="0"/>
                <w:numId w:val="2"/>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correctly analyze and interpret the financial condition of a bank, considering its risk profile, efficiency, and liquidity (S2_U02);</w:t>
            </w:r>
          </w:p>
          <w:p w14:paraId="4D153154" w14:textId="692C2572" w:rsidR="00C65842" w:rsidRDefault="49C1C106" w:rsidP="71854CB5">
            <w:pPr>
              <w:pStyle w:val="Akapitzlist"/>
              <w:numPr>
                <w:ilvl w:val="0"/>
                <w:numId w:val="2"/>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assess the role of external and exogenous factors in shaping banking activities, applying reliable references and academic literature (S2_U02);</w:t>
            </w:r>
          </w:p>
          <w:p w14:paraId="6C9C8925" w14:textId="4BB723A5" w:rsidR="00C65842" w:rsidRDefault="49C1C106" w:rsidP="71854CB5">
            <w:pPr>
              <w:pStyle w:val="Akapitzlist"/>
              <w:numPr>
                <w:ilvl w:val="0"/>
                <w:numId w:val="2"/>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collect data necessary for analyzing and assessing bank activities, including both bank-specific indicators and macroeconomic factors (S2_U02);</w:t>
            </w:r>
          </w:p>
          <w:p w14:paraId="371919A5" w14:textId="2A5BBD06" w:rsidR="00C65842" w:rsidRDefault="49C1C106" w:rsidP="71854CB5">
            <w:pPr>
              <w:pStyle w:val="Akapitzlist"/>
              <w:numPr>
                <w:ilvl w:val="0"/>
                <w:numId w:val="2"/>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t>prepare written and oral presentations on banking activities in a foreign language at the C1 level, with appropriate academic standards (S2_U04).</w:t>
            </w:r>
          </w:p>
          <w:p w14:paraId="5AD9CA68" w14:textId="54B2F0FE" w:rsidR="00C65842" w:rsidRDefault="49C1C106" w:rsidP="71854CB5">
            <w:pPr>
              <w:spacing w:before="240" w:after="240"/>
              <w:jc w:val="both"/>
            </w:pPr>
            <w:r w:rsidRPr="71854CB5">
              <w:rPr>
                <w:rFonts w:ascii="Calibri" w:eastAsia="Calibri" w:hAnsi="Calibri" w:cs="Calibri"/>
                <w:b/>
                <w:bCs/>
                <w:sz w:val="22"/>
                <w:szCs w:val="22"/>
                <w:lang w:val="en-US"/>
              </w:rPr>
              <w:t>The student is ready to:</w:t>
            </w:r>
          </w:p>
          <w:p w14:paraId="0EF29413" w14:textId="22CC7D13" w:rsidR="00C65842" w:rsidRDefault="49C1C106" w:rsidP="71854CB5">
            <w:pPr>
              <w:pStyle w:val="Akapitzlist"/>
              <w:numPr>
                <w:ilvl w:val="0"/>
                <w:numId w:val="1"/>
              </w:numPr>
              <w:spacing w:before="240" w:after="240"/>
              <w:jc w:val="both"/>
              <w:rPr>
                <w:rFonts w:ascii="Calibri" w:eastAsia="Calibri" w:hAnsi="Calibri" w:cs="Calibri"/>
                <w:sz w:val="22"/>
                <w:szCs w:val="22"/>
                <w:lang w:val="en-US"/>
              </w:rPr>
            </w:pPr>
            <w:r w:rsidRPr="71854CB5">
              <w:rPr>
                <w:rFonts w:ascii="Calibri" w:eastAsia="Calibri" w:hAnsi="Calibri" w:cs="Calibri"/>
                <w:sz w:val="22"/>
                <w:szCs w:val="22"/>
                <w:lang w:val="en-US"/>
              </w:rPr>
              <w:lastRenderedPageBreak/>
              <w:t>critically evaluate internal and external factors that affect banking activities, including risk, regulation, and global trends in the industry (S2_K01).</w:t>
            </w:r>
          </w:p>
          <w:p w14:paraId="53B3674E" w14:textId="248997D0" w:rsidR="00C65842" w:rsidRDefault="00C65842" w:rsidP="71854CB5">
            <w:pPr>
              <w:jc w:val="both"/>
              <w:rPr>
                <w:rFonts w:ascii="Calibri" w:eastAsia="Arial" w:hAnsi="Calibri" w:cs="Calibri"/>
                <w:sz w:val="22"/>
                <w:szCs w:val="22"/>
                <w:lang w:val="en-US"/>
              </w:rPr>
            </w:pPr>
          </w:p>
        </w:tc>
      </w:tr>
      <w:tr w:rsidR="00A60851" w14:paraId="0CCDF022" w14:textId="77777777" w:rsidTr="71854CB5">
        <w:tc>
          <w:tcPr>
            <w:tcW w:w="2988" w:type="dxa"/>
            <w:gridSpan w:val="2"/>
          </w:tcPr>
          <w:p w14:paraId="226B4FC8" w14:textId="77777777" w:rsidR="00A60851" w:rsidRDefault="00A60851" w:rsidP="00A60851">
            <w:pPr>
              <w:rPr>
                <w:rFonts w:ascii="Calibri" w:hAnsi="Calibri" w:cs="Calibri"/>
                <w:sz w:val="22"/>
                <w:szCs w:val="22"/>
                <w:lang w:val="en-US"/>
              </w:rPr>
            </w:pPr>
            <w:r>
              <w:rPr>
                <w:rFonts w:ascii="Calibri" w:hAnsi="Calibri" w:cs="Calibri"/>
                <w:sz w:val="22"/>
                <w:szCs w:val="22"/>
                <w:lang w:val="en-US"/>
              </w:rPr>
              <w:lastRenderedPageBreak/>
              <w:t>ECTS credits</w:t>
            </w:r>
          </w:p>
        </w:tc>
        <w:tc>
          <w:tcPr>
            <w:tcW w:w="6224" w:type="dxa"/>
          </w:tcPr>
          <w:p w14:paraId="49C71973" w14:textId="77777777" w:rsidR="00A60851" w:rsidRDefault="003A10FA" w:rsidP="00A60851">
            <w:pPr>
              <w:jc w:val="both"/>
              <w:rPr>
                <w:rFonts w:ascii="Calibri" w:hAnsi="Calibri" w:cs="Calibri"/>
                <w:sz w:val="22"/>
                <w:szCs w:val="22"/>
                <w:lang w:val="en-US"/>
              </w:rPr>
            </w:pPr>
            <w:r>
              <w:rPr>
                <w:rFonts w:ascii="Calibri" w:hAnsi="Calibri" w:cs="Calibri"/>
                <w:sz w:val="22"/>
                <w:szCs w:val="22"/>
                <w:lang w:val="en-US"/>
              </w:rPr>
              <w:t xml:space="preserve">4 </w:t>
            </w:r>
          </w:p>
        </w:tc>
      </w:tr>
      <w:tr w:rsidR="009C13A8" w14:paraId="2B40DB7B" w14:textId="77777777" w:rsidTr="71854CB5">
        <w:trPr>
          <w:trHeight w:val="10005"/>
        </w:trPr>
        <w:tc>
          <w:tcPr>
            <w:tcW w:w="2988" w:type="dxa"/>
            <w:gridSpan w:val="2"/>
          </w:tcPr>
          <w:p w14:paraId="7F872E11" w14:textId="77777777" w:rsidR="009C13A8" w:rsidRDefault="009C13A8" w:rsidP="009C13A8">
            <w:pPr>
              <w:rPr>
                <w:rFonts w:ascii="Calibri" w:hAnsi="Calibri" w:cs="Calibri"/>
                <w:sz w:val="22"/>
                <w:szCs w:val="22"/>
              </w:rPr>
            </w:pPr>
            <w:proofErr w:type="spellStart"/>
            <w:r>
              <w:rPr>
                <w:rFonts w:ascii="Calibri" w:hAnsi="Calibri" w:cs="Calibri"/>
                <w:sz w:val="22"/>
                <w:szCs w:val="22"/>
              </w:rPr>
              <w:t>Assessment</w:t>
            </w:r>
            <w:proofErr w:type="spellEnd"/>
            <w:r>
              <w:rPr>
                <w:rFonts w:ascii="Calibri" w:hAnsi="Calibri" w:cs="Calibri"/>
                <w:sz w:val="22"/>
                <w:szCs w:val="22"/>
              </w:rPr>
              <w:t xml:space="preserve">  </w:t>
            </w:r>
            <w:proofErr w:type="spellStart"/>
            <w:r>
              <w:rPr>
                <w:rFonts w:ascii="Calibri" w:hAnsi="Calibri" w:cs="Calibri"/>
                <w:sz w:val="22"/>
                <w:szCs w:val="22"/>
              </w:rPr>
              <w:t>methods</w:t>
            </w:r>
            <w:proofErr w:type="spellEnd"/>
            <w:r>
              <w:rPr>
                <w:rFonts w:ascii="Calibri" w:hAnsi="Calibri" w:cs="Calibri"/>
                <w:sz w:val="22"/>
                <w:szCs w:val="22"/>
              </w:rPr>
              <w:t xml:space="preserve"> and </w:t>
            </w:r>
            <w:proofErr w:type="spellStart"/>
            <w:r>
              <w:rPr>
                <w:rFonts w:ascii="Calibri" w:hAnsi="Calibri" w:cs="Calibri"/>
                <w:sz w:val="22"/>
                <w:szCs w:val="22"/>
              </w:rPr>
              <w:t>criteria</w:t>
            </w:r>
            <w:proofErr w:type="spellEnd"/>
          </w:p>
        </w:tc>
        <w:tc>
          <w:tcPr>
            <w:tcW w:w="6224" w:type="dxa"/>
          </w:tcPr>
          <w:p w14:paraId="4B4F26E4" w14:textId="183C167A" w:rsidR="009C13A8" w:rsidRDefault="4A4CDB7A" w:rsidP="71854CB5">
            <w:pPr>
              <w:spacing w:before="240" w:after="240"/>
              <w:ind w:left="708"/>
              <w:jc w:val="both"/>
              <w:rPr>
                <w:rFonts w:ascii="Arial" w:eastAsia="Arial" w:hAnsi="Arial" w:cs="Arial"/>
              </w:rPr>
            </w:pPr>
            <w:r w:rsidRPr="71854CB5">
              <w:rPr>
                <w:rFonts w:ascii="Arial" w:eastAsia="Arial" w:hAnsi="Arial" w:cs="Arial"/>
                <w:sz w:val="18"/>
                <w:szCs w:val="18"/>
              </w:rPr>
              <w:t xml:space="preserve">The </w:t>
            </w:r>
            <w:proofErr w:type="spellStart"/>
            <w:r w:rsidRPr="71854CB5">
              <w:rPr>
                <w:rFonts w:ascii="Arial" w:eastAsia="Arial" w:hAnsi="Arial" w:cs="Arial"/>
                <w:sz w:val="18"/>
                <w:szCs w:val="18"/>
              </w:rPr>
              <w:t>course</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assessment</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is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based</w:t>
            </w:r>
            <w:proofErr w:type="spellEnd"/>
            <w:r w:rsidRPr="71854CB5">
              <w:rPr>
                <w:rFonts w:ascii="Arial" w:eastAsia="Arial" w:hAnsi="Arial" w:cs="Arial"/>
                <w:sz w:val="18"/>
                <w:szCs w:val="18"/>
              </w:rPr>
              <w:t xml:space="preserve"> on the </w:t>
            </w:r>
            <w:proofErr w:type="spellStart"/>
            <w:r w:rsidRPr="71854CB5">
              <w:rPr>
                <w:rFonts w:ascii="Arial" w:eastAsia="Arial" w:hAnsi="Arial" w:cs="Arial"/>
                <w:sz w:val="18"/>
                <w:szCs w:val="18"/>
              </w:rPr>
              <w:t>following</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components</w:t>
            </w:r>
            <w:proofErr w:type="spellEnd"/>
            <w:r w:rsidRPr="71854CB5">
              <w:rPr>
                <w:rFonts w:ascii="Arial" w:eastAsia="Arial" w:hAnsi="Arial" w:cs="Arial"/>
                <w:sz w:val="18"/>
                <w:szCs w:val="18"/>
              </w:rPr>
              <w:t>:</w:t>
            </w:r>
          </w:p>
          <w:p w14:paraId="21CE9BD4" w14:textId="536A0AEA" w:rsidR="009C13A8" w:rsidRDefault="4A4CDB7A" w:rsidP="71854CB5">
            <w:pPr>
              <w:pStyle w:val="Akapitzlist"/>
              <w:numPr>
                <w:ilvl w:val="0"/>
                <w:numId w:val="9"/>
              </w:numPr>
              <w:spacing w:before="240" w:after="240"/>
              <w:jc w:val="both"/>
              <w:rPr>
                <w:rFonts w:ascii="Arial" w:eastAsia="Arial" w:hAnsi="Arial" w:cs="Arial"/>
              </w:rPr>
            </w:pPr>
            <w:r w:rsidRPr="71854CB5">
              <w:rPr>
                <w:rFonts w:ascii="Arial" w:eastAsia="Arial" w:hAnsi="Arial" w:cs="Arial"/>
                <w:b/>
                <w:bCs/>
                <w:sz w:val="18"/>
                <w:szCs w:val="18"/>
              </w:rPr>
              <w:t xml:space="preserve">Active </w:t>
            </w:r>
            <w:proofErr w:type="spellStart"/>
            <w:r w:rsidRPr="71854CB5">
              <w:rPr>
                <w:rFonts w:ascii="Arial" w:eastAsia="Arial" w:hAnsi="Arial" w:cs="Arial"/>
                <w:b/>
                <w:bCs/>
                <w:sz w:val="18"/>
                <w:szCs w:val="18"/>
              </w:rPr>
              <w:t>participation</w:t>
            </w:r>
            <w:proofErr w:type="spellEnd"/>
            <w:r w:rsidRPr="71854CB5">
              <w:rPr>
                <w:rFonts w:ascii="Arial" w:eastAsia="Arial" w:hAnsi="Arial" w:cs="Arial"/>
                <w:b/>
                <w:bCs/>
                <w:sz w:val="18"/>
                <w:szCs w:val="18"/>
              </w:rPr>
              <w:t xml:space="preserve"> in </w:t>
            </w:r>
            <w:proofErr w:type="spellStart"/>
            <w:r w:rsidRPr="71854CB5">
              <w:rPr>
                <w:rFonts w:ascii="Arial" w:eastAsia="Arial" w:hAnsi="Arial" w:cs="Arial"/>
                <w:b/>
                <w:bCs/>
                <w:sz w:val="18"/>
                <w:szCs w:val="18"/>
              </w:rPr>
              <w:t>classes</w:t>
            </w:r>
            <w:proofErr w:type="spellEnd"/>
            <w:r w:rsidRPr="71854CB5">
              <w:rPr>
                <w:rFonts w:ascii="Arial" w:eastAsia="Arial" w:hAnsi="Arial" w:cs="Arial"/>
                <w:sz w:val="18"/>
                <w:szCs w:val="18"/>
              </w:rPr>
              <w:t xml:space="preserve"> – </w:t>
            </w:r>
            <w:proofErr w:type="spellStart"/>
            <w:r w:rsidRPr="71854CB5">
              <w:rPr>
                <w:rFonts w:ascii="Arial" w:eastAsia="Arial" w:hAnsi="Arial" w:cs="Arial"/>
                <w:sz w:val="18"/>
                <w:szCs w:val="18"/>
              </w:rPr>
              <w:t>students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are</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expected</w:t>
            </w:r>
            <w:proofErr w:type="spellEnd"/>
            <w:r w:rsidRPr="71854CB5">
              <w:rPr>
                <w:rFonts w:ascii="Arial" w:eastAsia="Arial" w:hAnsi="Arial" w:cs="Arial"/>
                <w:sz w:val="18"/>
                <w:szCs w:val="18"/>
              </w:rPr>
              <w:t xml:space="preserve"> to </w:t>
            </w:r>
            <w:proofErr w:type="spellStart"/>
            <w:r w:rsidRPr="71854CB5">
              <w:rPr>
                <w:rFonts w:ascii="Arial" w:eastAsia="Arial" w:hAnsi="Arial" w:cs="Arial"/>
                <w:sz w:val="18"/>
                <w:szCs w:val="18"/>
              </w:rPr>
              <w:t>engage</w:t>
            </w:r>
            <w:proofErr w:type="spellEnd"/>
            <w:r w:rsidRPr="71854CB5">
              <w:rPr>
                <w:rFonts w:ascii="Arial" w:eastAsia="Arial" w:hAnsi="Arial" w:cs="Arial"/>
                <w:sz w:val="18"/>
                <w:szCs w:val="18"/>
              </w:rPr>
              <w:t xml:space="preserve"> in </w:t>
            </w:r>
            <w:proofErr w:type="spellStart"/>
            <w:r w:rsidRPr="71854CB5">
              <w:rPr>
                <w:rFonts w:ascii="Arial" w:eastAsia="Arial" w:hAnsi="Arial" w:cs="Arial"/>
                <w:sz w:val="18"/>
                <w:szCs w:val="18"/>
              </w:rPr>
              <w:t>discussions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exercises</w:t>
            </w:r>
            <w:proofErr w:type="spellEnd"/>
            <w:r w:rsidRPr="71854CB5">
              <w:rPr>
                <w:rFonts w:ascii="Arial" w:eastAsia="Arial" w:hAnsi="Arial" w:cs="Arial"/>
                <w:sz w:val="18"/>
                <w:szCs w:val="18"/>
              </w:rPr>
              <w:t xml:space="preserve">, and </w:t>
            </w:r>
            <w:proofErr w:type="spellStart"/>
            <w:r w:rsidRPr="71854CB5">
              <w:rPr>
                <w:rFonts w:ascii="Arial" w:eastAsia="Arial" w:hAnsi="Arial" w:cs="Arial"/>
                <w:sz w:val="18"/>
                <w:szCs w:val="18"/>
              </w:rPr>
              <w:t>teamwork</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during</w:t>
            </w:r>
            <w:proofErr w:type="spellEnd"/>
            <w:r w:rsidRPr="71854CB5">
              <w:rPr>
                <w:rFonts w:ascii="Arial" w:eastAsia="Arial" w:hAnsi="Arial" w:cs="Arial"/>
                <w:sz w:val="18"/>
                <w:szCs w:val="18"/>
              </w:rPr>
              <w:t xml:space="preserve"> the semester. </w:t>
            </w:r>
            <w:proofErr w:type="spellStart"/>
            <w:r w:rsidRPr="71854CB5">
              <w:rPr>
                <w:rFonts w:ascii="Arial" w:eastAsia="Arial" w:hAnsi="Arial" w:cs="Arial"/>
                <w:b/>
                <w:bCs/>
                <w:sz w:val="18"/>
                <w:szCs w:val="18"/>
              </w:rPr>
              <w:t>Attendance</w:t>
            </w:r>
            <w:proofErr w:type="spellEnd"/>
            <w:r w:rsidRPr="71854CB5">
              <w:rPr>
                <w:rFonts w:ascii="Arial" w:eastAsia="Arial" w:hAnsi="Arial" w:cs="Arial"/>
                <w:b/>
                <w:bCs/>
                <w:sz w:val="18"/>
                <w:szCs w:val="18"/>
              </w:rPr>
              <w:t xml:space="preserve"> </w:t>
            </w:r>
            <w:proofErr w:type="spellStart"/>
            <w:r w:rsidRPr="71854CB5">
              <w:rPr>
                <w:rFonts w:ascii="Arial" w:eastAsia="Arial" w:hAnsi="Arial" w:cs="Arial"/>
                <w:b/>
                <w:bCs/>
                <w:sz w:val="18"/>
                <w:szCs w:val="18"/>
              </w:rPr>
              <w:t>is</w:t>
            </w:r>
            <w:proofErr w:type="spellEnd"/>
            <w:r w:rsidRPr="71854CB5">
              <w:rPr>
                <w:rFonts w:ascii="Arial" w:eastAsia="Arial" w:hAnsi="Arial" w:cs="Arial"/>
                <w:b/>
                <w:bCs/>
                <w:sz w:val="18"/>
                <w:szCs w:val="18"/>
              </w:rPr>
              <w:t xml:space="preserve"> </w:t>
            </w:r>
            <w:proofErr w:type="spellStart"/>
            <w:r w:rsidRPr="71854CB5">
              <w:rPr>
                <w:rFonts w:ascii="Arial" w:eastAsia="Arial" w:hAnsi="Arial" w:cs="Arial"/>
                <w:b/>
                <w:bCs/>
                <w:sz w:val="18"/>
                <w:szCs w:val="18"/>
              </w:rPr>
              <w:t>mandatory</w:t>
            </w:r>
            <w:proofErr w:type="spellEnd"/>
            <w:r w:rsidRPr="71854CB5">
              <w:rPr>
                <w:rFonts w:ascii="Arial" w:eastAsia="Arial" w:hAnsi="Arial" w:cs="Arial"/>
                <w:sz w:val="18"/>
                <w:szCs w:val="18"/>
              </w:rPr>
              <w:t xml:space="preserve"> and </w:t>
            </w:r>
            <w:proofErr w:type="spellStart"/>
            <w:r w:rsidRPr="71854CB5">
              <w:rPr>
                <w:rFonts w:ascii="Arial" w:eastAsia="Arial" w:hAnsi="Arial" w:cs="Arial"/>
                <w:sz w:val="18"/>
                <w:szCs w:val="18"/>
              </w:rPr>
              <w:t>will</w:t>
            </w:r>
            <w:proofErr w:type="spellEnd"/>
            <w:r w:rsidRPr="71854CB5">
              <w:rPr>
                <w:rFonts w:ascii="Arial" w:eastAsia="Arial" w:hAnsi="Arial" w:cs="Arial"/>
                <w:sz w:val="18"/>
                <w:szCs w:val="18"/>
              </w:rPr>
              <w:t xml:space="preserve"> be </w:t>
            </w:r>
            <w:proofErr w:type="spellStart"/>
            <w:r w:rsidRPr="71854CB5">
              <w:rPr>
                <w:rFonts w:ascii="Arial" w:eastAsia="Arial" w:hAnsi="Arial" w:cs="Arial"/>
                <w:sz w:val="18"/>
                <w:szCs w:val="18"/>
              </w:rPr>
              <w:t>monitored</w:t>
            </w:r>
            <w:proofErr w:type="spellEnd"/>
            <w:r w:rsidRPr="71854CB5">
              <w:rPr>
                <w:rFonts w:ascii="Arial" w:eastAsia="Arial" w:hAnsi="Arial" w:cs="Arial"/>
                <w:sz w:val="18"/>
                <w:szCs w:val="18"/>
              </w:rPr>
              <w:t xml:space="preserve">. A student </w:t>
            </w:r>
            <w:proofErr w:type="spellStart"/>
            <w:r w:rsidRPr="71854CB5">
              <w:rPr>
                <w:rFonts w:ascii="Arial" w:eastAsia="Arial" w:hAnsi="Arial" w:cs="Arial"/>
                <w:sz w:val="18"/>
                <w:szCs w:val="18"/>
              </w:rPr>
              <w:t>who</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misses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more</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than</w:t>
            </w:r>
            <w:proofErr w:type="spellEnd"/>
            <w:r w:rsidRPr="71854CB5">
              <w:rPr>
                <w:rFonts w:ascii="Arial" w:eastAsia="Arial" w:hAnsi="Arial" w:cs="Arial"/>
                <w:sz w:val="18"/>
                <w:szCs w:val="18"/>
              </w:rPr>
              <w:t xml:space="preserve"> one </w:t>
            </w:r>
            <w:proofErr w:type="spellStart"/>
            <w:r w:rsidRPr="71854CB5">
              <w:rPr>
                <w:rFonts w:ascii="Arial" w:eastAsia="Arial" w:hAnsi="Arial" w:cs="Arial"/>
                <w:sz w:val="18"/>
                <w:szCs w:val="18"/>
              </w:rPr>
              <w:t>class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is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required</w:t>
            </w:r>
            <w:proofErr w:type="spellEnd"/>
            <w:r w:rsidRPr="71854CB5">
              <w:rPr>
                <w:rFonts w:ascii="Arial" w:eastAsia="Arial" w:hAnsi="Arial" w:cs="Arial"/>
                <w:sz w:val="18"/>
                <w:szCs w:val="18"/>
              </w:rPr>
              <w:t xml:space="preserve"> to </w:t>
            </w:r>
            <w:proofErr w:type="spellStart"/>
            <w:r w:rsidRPr="71854CB5">
              <w:rPr>
                <w:rFonts w:ascii="Arial" w:eastAsia="Arial" w:hAnsi="Arial" w:cs="Arial"/>
                <w:sz w:val="18"/>
                <w:szCs w:val="18"/>
              </w:rPr>
              <w:t>attend</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office</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hours</w:t>
            </w:r>
            <w:proofErr w:type="spellEnd"/>
            <w:r w:rsidRPr="71854CB5">
              <w:rPr>
                <w:rFonts w:ascii="Arial" w:eastAsia="Arial" w:hAnsi="Arial" w:cs="Arial"/>
                <w:sz w:val="18"/>
                <w:szCs w:val="18"/>
              </w:rPr>
              <w:t xml:space="preserve"> and </w:t>
            </w:r>
            <w:proofErr w:type="spellStart"/>
            <w:r w:rsidRPr="71854CB5">
              <w:rPr>
                <w:rFonts w:ascii="Arial" w:eastAsia="Arial" w:hAnsi="Arial" w:cs="Arial"/>
                <w:sz w:val="18"/>
                <w:szCs w:val="18"/>
              </w:rPr>
              <w:t>present</w:t>
            </w:r>
            <w:proofErr w:type="spellEnd"/>
            <w:r w:rsidRPr="71854CB5">
              <w:rPr>
                <w:rFonts w:ascii="Arial" w:eastAsia="Arial" w:hAnsi="Arial" w:cs="Arial"/>
                <w:sz w:val="18"/>
                <w:szCs w:val="18"/>
              </w:rPr>
              <w:t xml:space="preserve"> the </w:t>
            </w:r>
            <w:proofErr w:type="spellStart"/>
            <w:r w:rsidRPr="71854CB5">
              <w:rPr>
                <w:rFonts w:ascii="Arial" w:eastAsia="Arial" w:hAnsi="Arial" w:cs="Arial"/>
                <w:sz w:val="18"/>
                <w:szCs w:val="18"/>
              </w:rPr>
              <w:t>material</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missed</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due</w:t>
            </w:r>
            <w:proofErr w:type="spellEnd"/>
            <w:r w:rsidRPr="71854CB5">
              <w:rPr>
                <w:rFonts w:ascii="Arial" w:eastAsia="Arial" w:hAnsi="Arial" w:cs="Arial"/>
                <w:sz w:val="18"/>
                <w:szCs w:val="18"/>
              </w:rPr>
              <w:t xml:space="preserve"> to </w:t>
            </w:r>
            <w:proofErr w:type="spellStart"/>
            <w:r w:rsidRPr="71854CB5">
              <w:rPr>
                <w:rFonts w:ascii="Arial" w:eastAsia="Arial" w:hAnsi="Arial" w:cs="Arial"/>
                <w:sz w:val="18"/>
                <w:szCs w:val="18"/>
              </w:rPr>
              <w:t>their</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absence</w:t>
            </w:r>
            <w:proofErr w:type="spellEnd"/>
            <w:r w:rsidRPr="71854CB5">
              <w:rPr>
                <w:rFonts w:ascii="Arial" w:eastAsia="Arial" w:hAnsi="Arial" w:cs="Arial"/>
                <w:sz w:val="18"/>
                <w:szCs w:val="18"/>
              </w:rPr>
              <w:t xml:space="preserve">. A student </w:t>
            </w:r>
            <w:proofErr w:type="spellStart"/>
            <w:r w:rsidRPr="71854CB5">
              <w:rPr>
                <w:rFonts w:ascii="Arial" w:eastAsia="Arial" w:hAnsi="Arial" w:cs="Arial"/>
                <w:sz w:val="18"/>
                <w:szCs w:val="18"/>
              </w:rPr>
              <w:t>who</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is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absent</w:t>
            </w:r>
            <w:proofErr w:type="spellEnd"/>
            <w:r w:rsidRPr="71854CB5">
              <w:rPr>
                <w:rFonts w:ascii="Arial" w:eastAsia="Arial" w:hAnsi="Arial" w:cs="Arial"/>
                <w:sz w:val="18"/>
                <w:szCs w:val="18"/>
              </w:rPr>
              <w:t xml:space="preserve"> from </w:t>
            </w:r>
            <w:proofErr w:type="spellStart"/>
            <w:r w:rsidRPr="71854CB5">
              <w:rPr>
                <w:rFonts w:ascii="Arial" w:eastAsia="Arial" w:hAnsi="Arial" w:cs="Arial"/>
                <w:sz w:val="18"/>
                <w:szCs w:val="18"/>
              </w:rPr>
              <w:t>more</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than</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four</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classes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must</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obtain</w:t>
            </w:r>
            <w:proofErr w:type="spellEnd"/>
            <w:r w:rsidRPr="71854CB5">
              <w:rPr>
                <w:rFonts w:ascii="Arial" w:eastAsia="Arial" w:hAnsi="Arial" w:cs="Arial"/>
                <w:sz w:val="18"/>
                <w:szCs w:val="18"/>
              </w:rPr>
              <w:t xml:space="preserve"> the </w:t>
            </w:r>
            <w:proofErr w:type="spellStart"/>
            <w:r w:rsidRPr="71854CB5">
              <w:rPr>
                <w:rFonts w:ascii="Arial" w:eastAsia="Arial" w:hAnsi="Arial" w:cs="Arial"/>
                <w:sz w:val="18"/>
                <w:szCs w:val="18"/>
              </w:rPr>
              <w:t>Dean’s</w:t>
            </w:r>
            <w:proofErr w:type="spellEnd"/>
            <w:r w:rsidRPr="71854CB5">
              <w:rPr>
                <w:rFonts w:ascii="Arial" w:eastAsia="Arial" w:hAnsi="Arial" w:cs="Arial"/>
                <w:sz w:val="18"/>
                <w:szCs w:val="18"/>
              </w:rPr>
              <w:t xml:space="preserve"> consent for </w:t>
            </w:r>
            <w:proofErr w:type="spellStart"/>
            <w:r w:rsidRPr="71854CB5">
              <w:rPr>
                <w:rFonts w:ascii="Arial" w:eastAsia="Arial" w:hAnsi="Arial" w:cs="Arial"/>
                <w:sz w:val="18"/>
                <w:szCs w:val="18"/>
              </w:rPr>
              <w:t>an</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individual</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completion</w:t>
            </w:r>
            <w:proofErr w:type="spellEnd"/>
            <w:r w:rsidRPr="71854CB5">
              <w:rPr>
                <w:rFonts w:ascii="Arial" w:eastAsia="Arial" w:hAnsi="Arial" w:cs="Arial"/>
                <w:sz w:val="18"/>
                <w:szCs w:val="18"/>
              </w:rPr>
              <w:t xml:space="preserve"> of the </w:t>
            </w:r>
            <w:proofErr w:type="spellStart"/>
            <w:r w:rsidRPr="71854CB5">
              <w:rPr>
                <w:rFonts w:ascii="Arial" w:eastAsia="Arial" w:hAnsi="Arial" w:cs="Arial"/>
                <w:sz w:val="18"/>
                <w:szCs w:val="18"/>
              </w:rPr>
              <w:t>course</w:t>
            </w:r>
            <w:proofErr w:type="spellEnd"/>
            <w:r w:rsidRPr="71854CB5">
              <w:rPr>
                <w:rFonts w:ascii="Arial" w:eastAsia="Arial" w:hAnsi="Arial" w:cs="Arial"/>
                <w:sz w:val="18"/>
                <w:szCs w:val="18"/>
              </w:rPr>
              <w:t>.</w:t>
            </w:r>
          </w:p>
          <w:p w14:paraId="3B30165B" w14:textId="6349D644" w:rsidR="009C13A8" w:rsidRDefault="4A4CDB7A" w:rsidP="71854CB5">
            <w:pPr>
              <w:pStyle w:val="Akapitzlist"/>
              <w:numPr>
                <w:ilvl w:val="0"/>
                <w:numId w:val="9"/>
              </w:numPr>
              <w:spacing w:before="240" w:after="240"/>
              <w:jc w:val="both"/>
              <w:rPr>
                <w:rFonts w:ascii="Arial" w:eastAsia="Arial" w:hAnsi="Arial" w:cs="Arial"/>
              </w:rPr>
            </w:pPr>
            <w:proofErr w:type="spellStart"/>
            <w:r w:rsidRPr="71854CB5">
              <w:rPr>
                <w:rFonts w:ascii="Arial" w:eastAsia="Arial" w:hAnsi="Arial" w:cs="Arial"/>
                <w:b/>
                <w:bCs/>
                <w:sz w:val="18"/>
                <w:szCs w:val="18"/>
              </w:rPr>
              <w:t>Projects</w:t>
            </w:r>
            <w:proofErr w:type="spellEnd"/>
            <w:r w:rsidRPr="71854CB5">
              <w:rPr>
                <w:rFonts w:ascii="Arial" w:eastAsia="Arial" w:hAnsi="Arial" w:cs="Arial"/>
                <w:b/>
                <w:bCs/>
                <w:sz w:val="18"/>
                <w:szCs w:val="18"/>
              </w:rPr>
              <w:t xml:space="preserve"> (</w:t>
            </w:r>
            <w:r w:rsidR="6829E6B6" w:rsidRPr="71854CB5">
              <w:rPr>
                <w:rFonts w:ascii="Arial" w:eastAsia="Arial" w:hAnsi="Arial" w:cs="Arial"/>
                <w:b/>
                <w:bCs/>
                <w:sz w:val="18"/>
                <w:szCs w:val="18"/>
              </w:rPr>
              <w:t xml:space="preserve">max </w:t>
            </w:r>
            <w:r w:rsidRPr="71854CB5">
              <w:rPr>
                <w:rFonts w:ascii="Arial" w:eastAsia="Arial" w:hAnsi="Arial" w:cs="Arial"/>
                <w:b/>
                <w:bCs/>
                <w:sz w:val="18"/>
                <w:szCs w:val="18"/>
              </w:rPr>
              <w:t xml:space="preserve">50% of the </w:t>
            </w:r>
            <w:proofErr w:type="spellStart"/>
            <w:r w:rsidRPr="71854CB5">
              <w:rPr>
                <w:rFonts w:ascii="Arial" w:eastAsia="Arial" w:hAnsi="Arial" w:cs="Arial"/>
                <w:b/>
                <w:bCs/>
                <w:sz w:val="18"/>
                <w:szCs w:val="18"/>
              </w:rPr>
              <w:t>final</w:t>
            </w:r>
            <w:proofErr w:type="spellEnd"/>
            <w:r w:rsidRPr="71854CB5">
              <w:rPr>
                <w:rFonts w:ascii="Arial" w:eastAsia="Arial" w:hAnsi="Arial" w:cs="Arial"/>
                <w:b/>
                <w:bCs/>
                <w:sz w:val="18"/>
                <w:szCs w:val="18"/>
              </w:rPr>
              <w:t xml:space="preserve"> </w:t>
            </w:r>
            <w:proofErr w:type="spellStart"/>
            <w:r w:rsidRPr="71854CB5">
              <w:rPr>
                <w:rFonts w:ascii="Arial" w:eastAsia="Arial" w:hAnsi="Arial" w:cs="Arial"/>
                <w:b/>
                <w:bCs/>
                <w:sz w:val="18"/>
                <w:szCs w:val="18"/>
              </w:rPr>
              <w:t>grade</w:t>
            </w:r>
            <w:proofErr w:type="spellEnd"/>
            <w:r w:rsidRPr="71854CB5">
              <w:rPr>
                <w:rFonts w:ascii="Arial" w:eastAsia="Arial" w:hAnsi="Arial" w:cs="Arial"/>
                <w:b/>
                <w:bCs/>
                <w:sz w:val="18"/>
                <w:szCs w:val="18"/>
              </w:rPr>
              <w:t>)</w:t>
            </w:r>
            <w:r w:rsidRPr="71854CB5">
              <w:rPr>
                <w:rFonts w:ascii="Arial" w:eastAsia="Arial" w:hAnsi="Arial" w:cs="Arial"/>
                <w:sz w:val="18"/>
                <w:szCs w:val="18"/>
              </w:rPr>
              <w:t xml:space="preserve"> – </w:t>
            </w:r>
            <w:proofErr w:type="spellStart"/>
            <w:r w:rsidRPr="71854CB5">
              <w:rPr>
                <w:rFonts w:ascii="Arial" w:eastAsia="Arial" w:hAnsi="Arial" w:cs="Arial"/>
                <w:sz w:val="18"/>
                <w:szCs w:val="18"/>
              </w:rPr>
              <w:t>students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will</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complete</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up</w:t>
            </w:r>
            <w:proofErr w:type="spellEnd"/>
            <w:r w:rsidRPr="71854CB5">
              <w:rPr>
                <w:rFonts w:ascii="Arial" w:eastAsia="Arial" w:hAnsi="Arial" w:cs="Arial"/>
                <w:sz w:val="18"/>
                <w:szCs w:val="18"/>
              </w:rPr>
              <w:t xml:space="preserve"> to </w:t>
            </w:r>
            <w:proofErr w:type="spellStart"/>
            <w:r w:rsidRPr="71854CB5">
              <w:rPr>
                <w:rFonts w:ascii="Arial" w:eastAsia="Arial" w:hAnsi="Arial" w:cs="Arial"/>
                <w:sz w:val="18"/>
                <w:szCs w:val="18"/>
              </w:rPr>
              <w:t>four</w:t>
            </w:r>
            <w:proofErr w:type="spellEnd"/>
            <w:r w:rsidRPr="71854CB5">
              <w:rPr>
                <w:rFonts w:ascii="Arial" w:eastAsia="Arial" w:hAnsi="Arial" w:cs="Arial"/>
                <w:sz w:val="18"/>
                <w:szCs w:val="18"/>
              </w:rPr>
              <w:t xml:space="preserve"> small team </w:t>
            </w:r>
            <w:proofErr w:type="spellStart"/>
            <w:r w:rsidRPr="71854CB5">
              <w:rPr>
                <w:rFonts w:ascii="Arial" w:eastAsia="Arial" w:hAnsi="Arial" w:cs="Arial"/>
                <w:sz w:val="18"/>
                <w:szCs w:val="18"/>
              </w:rPr>
              <w:t>projects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primarily</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case</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studies</w:t>
            </w:r>
            <w:proofErr w:type="spellEnd"/>
            <w:r w:rsidRPr="71854CB5">
              <w:rPr>
                <w:rFonts w:ascii="Arial" w:eastAsia="Arial" w:hAnsi="Arial" w:cs="Arial"/>
                <w:sz w:val="18"/>
                <w:szCs w:val="18"/>
              </w:rPr>
              <w:t xml:space="preserve"> of </w:t>
            </w:r>
            <w:proofErr w:type="spellStart"/>
            <w:r w:rsidRPr="71854CB5">
              <w:rPr>
                <w:rFonts w:ascii="Arial" w:eastAsia="Arial" w:hAnsi="Arial" w:cs="Arial"/>
                <w:sz w:val="18"/>
                <w:szCs w:val="18"/>
              </w:rPr>
              <w:t>banks</w:t>
            </w:r>
            <w:proofErr w:type="spellEnd"/>
            <w:r w:rsidRPr="71854CB5">
              <w:rPr>
                <w:rFonts w:ascii="Arial" w:eastAsia="Arial" w:hAnsi="Arial" w:cs="Arial"/>
                <w:sz w:val="18"/>
                <w:szCs w:val="18"/>
              </w:rPr>
              <w:t xml:space="preserve"> and </w:t>
            </w:r>
            <w:proofErr w:type="spellStart"/>
            <w:r w:rsidRPr="71854CB5">
              <w:rPr>
                <w:rFonts w:ascii="Arial" w:eastAsia="Arial" w:hAnsi="Arial" w:cs="Arial"/>
                <w:sz w:val="18"/>
                <w:szCs w:val="18"/>
              </w:rPr>
              <w:t>comparative</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analyses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Projects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may</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focus</w:t>
            </w:r>
            <w:proofErr w:type="spellEnd"/>
            <w:r w:rsidRPr="71854CB5">
              <w:rPr>
                <w:rFonts w:ascii="Arial" w:eastAsia="Arial" w:hAnsi="Arial" w:cs="Arial"/>
                <w:sz w:val="18"/>
                <w:szCs w:val="18"/>
              </w:rPr>
              <w:t xml:space="preserve"> on </w:t>
            </w:r>
            <w:proofErr w:type="spellStart"/>
            <w:r w:rsidRPr="71854CB5">
              <w:rPr>
                <w:rFonts w:ascii="Arial" w:eastAsia="Arial" w:hAnsi="Arial" w:cs="Arial"/>
                <w:sz w:val="18"/>
                <w:szCs w:val="18"/>
              </w:rPr>
              <w:t>areas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such</w:t>
            </w:r>
            <w:proofErr w:type="spellEnd"/>
            <w:r w:rsidRPr="71854CB5">
              <w:rPr>
                <w:rFonts w:ascii="Arial" w:eastAsia="Arial" w:hAnsi="Arial" w:cs="Arial"/>
                <w:sz w:val="18"/>
                <w:szCs w:val="18"/>
              </w:rPr>
              <w:t xml:space="preserve"> as </w:t>
            </w:r>
            <w:proofErr w:type="spellStart"/>
            <w:r w:rsidRPr="71854CB5">
              <w:rPr>
                <w:rFonts w:ascii="Arial" w:eastAsia="Arial" w:hAnsi="Arial" w:cs="Arial"/>
                <w:sz w:val="18"/>
                <w:szCs w:val="18"/>
              </w:rPr>
              <w:t>liquidity</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risk</w:t>
            </w:r>
            <w:proofErr w:type="spellEnd"/>
            <w:r w:rsidRPr="71854CB5">
              <w:rPr>
                <w:rFonts w:ascii="Arial" w:eastAsia="Arial" w:hAnsi="Arial" w:cs="Arial"/>
                <w:sz w:val="18"/>
                <w:szCs w:val="18"/>
              </w:rPr>
              <w:t xml:space="preserve">, and </w:t>
            </w:r>
            <w:proofErr w:type="spellStart"/>
            <w:r w:rsidRPr="71854CB5">
              <w:rPr>
                <w:rFonts w:ascii="Arial" w:eastAsia="Arial" w:hAnsi="Arial" w:cs="Arial"/>
                <w:sz w:val="18"/>
                <w:szCs w:val="18"/>
              </w:rPr>
              <w:t>profitability</w:t>
            </w:r>
            <w:proofErr w:type="spellEnd"/>
            <w:r w:rsidRPr="71854CB5">
              <w:rPr>
                <w:rFonts w:ascii="Arial" w:eastAsia="Arial" w:hAnsi="Arial" w:cs="Arial"/>
                <w:sz w:val="18"/>
                <w:szCs w:val="18"/>
              </w:rPr>
              <w:t xml:space="preserve">. In </w:t>
            </w:r>
            <w:proofErr w:type="spellStart"/>
            <w:r w:rsidRPr="71854CB5">
              <w:rPr>
                <w:rFonts w:ascii="Arial" w:eastAsia="Arial" w:hAnsi="Arial" w:cs="Arial"/>
                <w:sz w:val="18"/>
                <w:szCs w:val="18"/>
              </w:rPr>
              <w:t>addition</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teams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will</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prepare</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short</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weekly</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briefs</w:t>
            </w:r>
            <w:proofErr w:type="spellEnd"/>
            <w:r w:rsidRPr="71854CB5">
              <w:rPr>
                <w:rFonts w:ascii="Arial" w:eastAsia="Arial" w:hAnsi="Arial" w:cs="Arial"/>
                <w:sz w:val="18"/>
                <w:szCs w:val="18"/>
              </w:rPr>
              <w:t xml:space="preserve"> on </w:t>
            </w:r>
            <w:proofErr w:type="spellStart"/>
            <w:r w:rsidRPr="71854CB5">
              <w:rPr>
                <w:rFonts w:ascii="Arial" w:eastAsia="Arial" w:hAnsi="Arial" w:cs="Arial"/>
                <w:sz w:val="18"/>
                <w:szCs w:val="18"/>
              </w:rPr>
              <w:t>developments</w:t>
            </w:r>
            <w:proofErr w:type="spellEnd"/>
            <w:r w:rsidRPr="71854CB5">
              <w:rPr>
                <w:rFonts w:ascii="Arial" w:eastAsia="Arial" w:hAnsi="Arial" w:cs="Arial"/>
                <w:sz w:val="18"/>
                <w:szCs w:val="18"/>
              </w:rPr>
              <w:t xml:space="preserve"> in the </w:t>
            </w:r>
            <w:proofErr w:type="spellStart"/>
            <w:r w:rsidRPr="71854CB5">
              <w:rPr>
                <w:rFonts w:ascii="Arial" w:eastAsia="Arial" w:hAnsi="Arial" w:cs="Arial"/>
                <w:sz w:val="18"/>
                <w:szCs w:val="18"/>
              </w:rPr>
              <w:t>external</w:t>
            </w:r>
            <w:proofErr w:type="spellEnd"/>
            <w:r w:rsidRPr="71854CB5">
              <w:rPr>
                <w:rFonts w:ascii="Arial" w:eastAsia="Arial" w:hAnsi="Arial" w:cs="Arial"/>
                <w:sz w:val="18"/>
                <w:szCs w:val="18"/>
              </w:rPr>
              <w:t xml:space="preserve"> environment </w:t>
            </w:r>
            <w:proofErr w:type="spellStart"/>
            <w:r w:rsidRPr="71854CB5">
              <w:rPr>
                <w:rFonts w:ascii="Arial" w:eastAsia="Arial" w:hAnsi="Arial" w:cs="Arial"/>
                <w:sz w:val="18"/>
                <w:szCs w:val="18"/>
              </w:rPr>
              <w:t>relevant</w:t>
            </w:r>
            <w:proofErr w:type="spellEnd"/>
            <w:r w:rsidRPr="71854CB5">
              <w:rPr>
                <w:rFonts w:ascii="Arial" w:eastAsia="Arial" w:hAnsi="Arial" w:cs="Arial"/>
                <w:sz w:val="18"/>
                <w:szCs w:val="18"/>
              </w:rPr>
              <w:t xml:space="preserve"> to the banking </w:t>
            </w:r>
            <w:proofErr w:type="spellStart"/>
            <w:r w:rsidRPr="71854CB5">
              <w:rPr>
                <w:rFonts w:ascii="Arial" w:eastAsia="Arial" w:hAnsi="Arial" w:cs="Arial"/>
                <w:sz w:val="18"/>
                <w:szCs w:val="18"/>
              </w:rPr>
              <w:t>industry</w:t>
            </w:r>
            <w:proofErr w:type="spellEnd"/>
            <w:r w:rsidRPr="71854CB5">
              <w:rPr>
                <w:rFonts w:ascii="Arial" w:eastAsia="Arial" w:hAnsi="Arial" w:cs="Arial"/>
                <w:sz w:val="18"/>
                <w:szCs w:val="18"/>
              </w:rPr>
              <w:t xml:space="preserve">, as </w:t>
            </w:r>
            <w:proofErr w:type="spellStart"/>
            <w:r w:rsidRPr="71854CB5">
              <w:rPr>
                <w:rFonts w:ascii="Arial" w:eastAsia="Arial" w:hAnsi="Arial" w:cs="Arial"/>
                <w:sz w:val="18"/>
                <w:szCs w:val="18"/>
              </w:rPr>
              <w:t>well</w:t>
            </w:r>
            <w:proofErr w:type="spellEnd"/>
            <w:r w:rsidRPr="71854CB5">
              <w:rPr>
                <w:rFonts w:ascii="Arial" w:eastAsia="Arial" w:hAnsi="Arial" w:cs="Arial"/>
                <w:sz w:val="18"/>
                <w:szCs w:val="18"/>
              </w:rPr>
              <w:t xml:space="preserve"> as </w:t>
            </w:r>
            <w:proofErr w:type="spellStart"/>
            <w:r w:rsidRPr="71854CB5">
              <w:rPr>
                <w:rFonts w:ascii="Arial" w:eastAsia="Arial" w:hAnsi="Arial" w:cs="Arial"/>
                <w:sz w:val="18"/>
                <w:szCs w:val="18"/>
              </w:rPr>
              <w:t>written</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research</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reports</w:t>
            </w:r>
            <w:proofErr w:type="spellEnd"/>
            <w:r w:rsidRPr="71854CB5">
              <w:rPr>
                <w:rFonts w:ascii="Arial" w:eastAsia="Arial" w:hAnsi="Arial" w:cs="Arial"/>
                <w:sz w:val="18"/>
                <w:szCs w:val="18"/>
              </w:rPr>
              <w:t>.</w:t>
            </w:r>
          </w:p>
          <w:p w14:paraId="6E5AD919" w14:textId="0D57F141" w:rsidR="009C13A8" w:rsidRDefault="4A4CDB7A" w:rsidP="71854CB5">
            <w:pPr>
              <w:pStyle w:val="Akapitzlist"/>
              <w:numPr>
                <w:ilvl w:val="0"/>
                <w:numId w:val="9"/>
              </w:numPr>
              <w:spacing w:before="240" w:after="240"/>
              <w:jc w:val="both"/>
              <w:rPr>
                <w:rFonts w:ascii="Arial" w:eastAsia="Arial" w:hAnsi="Arial" w:cs="Arial"/>
              </w:rPr>
            </w:pPr>
            <w:proofErr w:type="spellStart"/>
            <w:r w:rsidRPr="71854CB5">
              <w:rPr>
                <w:rFonts w:ascii="Arial" w:eastAsia="Arial" w:hAnsi="Arial" w:cs="Arial"/>
                <w:b/>
                <w:bCs/>
                <w:sz w:val="18"/>
                <w:szCs w:val="18"/>
              </w:rPr>
              <w:t>Final</w:t>
            </w:r>
            <w:proofErr w:type="spellEnd"/>
            <w:r w:rsidRPr="71854CB5">
              <w:rPr>
                <w:rFonts w:ascii="Arial" w:eastAsia="Arial" w:hAnsi="Arial" w:cs="Arial"/>
                <w:b/>
                <w:bCs/>
                <w:sz w:val="18"/>
                <w:szCs w:val="18"/>
              </w:rPr>
              <w:t xml:space="preserve"> </w:t>
            </w:r>
            <w:proofErr w:type="spellStart"/>
            <w:r w:rsidRPr="71854CB5">
              <w:rPr>
                <w:rFonts w:ascii="Arial" w:eastAsia="Arial" w:hAnsi="Arial" w:cs="Arial"/>
                <w:b/>
                <w:bCs/>
                <w:sz w:val="18"/>
                <w:szCs w:val="18"/>
              </w:rPr>
              <w:t>written</w:t>
            </w:r>
            <w:proofErr w:type="spellEnd"/>
            <w:r w:rsidRPr="71854CB5">
              <w:rPr>
                <w:rFonts w:ascii="Arial" w:eastAsia="Arial" w:hAnsi="Arial" w:cs="Arial"/>
                <w:b/>
                <w:bCs/>
                <w:sz w:val="18"/>
                <w:szCs w:val="18"/>
              </w:rPr>
              <w:t xml:space="preserve"> </w:t>
            </w:r>
            <w:proofErr w:type="spellStart"/>
            <w:r w:rsidRPr="71854CB5">
              <w:rPr>
                <w:rFonts w:ascii="Arial" w:eastAsia="Arial" w:hAnsi="Arial" w:cs="Arial"/>
                <w:b/>
                <w:bCs/>
                <w:sz w:val="18"/>
                <w:szCs w:val="18"/>
              </w:rPr>
              <w:t>exam</w:t>
            </w:r>
            <w:proofErr w:type="spellEnd"/>
            <w:r w:rsidRPr="71854CB5">
              <w:rPr>
                <w:rFonts w:ascii="Arial" w:eastAsia="Arial" w:hAnsi="Arial" w:cs="Arial"/>
                <w:b/>
                <w:bCs/>
                <w:sz w:val="18"/>
                <w:szCs w:val="18"/>
              </w:rPr>
              <w:t xml:space="preserve"> (</w:t>
            </w:r>
            <w:r w:rsidR="2374F544" w:rsidRPr="71854CB5">
              <w:rPr>
                <w:rFonts w:ascii="Arial" w:eastAsia="Arial" w:hAnsi="Arial" w:cs="Arial"/>
                <w:b/>
                <w:bCs/>
                <w:sz w:val="18"/>
                <w:szCs w:val="18"/>
              </w:rPr>
              <w:t xml:space="preserve">min </w:t>
            </w:r>
            <w:r w:rsidRPr="71854CB5">
              <w:rPr>
                <w:rFonts w:ascii="Arial" w:eastAsia="Arial" w:hAnsi="Arial" w:cs="Arial"/>
                <w:b/>
                <w:bCs/>
                <w:sz w:val="18"/>
                <w:szCs w:val="18"/>
              </w:rPr>
              <w:t xml:space="preserve">50% of the </w:t>
            </w:r>
            <w:proofErr w:type="spellStart"/>
            <w:r w:rsidRPr="71854CB5">
              <w:rPr>
                <w:rFonts w:ascii="Arial" w:eastAsia="Arial" w:hAnsi="Arial" w:cs="Arial"/>
                <w:b/>
                <w:bCs/>
                <w:sz w:val="18"/>
                <w:szCs w:val="18"/>
              </w:rPr>
              <w:t>final</w:t>
            </w:r>
            <w:proofErr w:type="spellEnd"/>
            <w:r w:rsidRPr="71854CB5">
              <w:rPr>
                <w:rFonts w:ascii="Arial" w:eastAsia="Arial" w:hAnsi="Arial" w:cs="Arial"/>
                <w:b/>
                <w:bCs/>
                <w:sz w:val="18"/>
                <w:szCs w:val="18"/>
              </w:rPr>
              <w:t xml:space="preserve"> </w:t>
            </w:r>
            <w:proofErr w:type="spellStart"/>
            <w:r w:rsidRPr="71854CB5">
              <w:rPr>
                <w:rFonts w:ascii="Arial" w:eastAsia="Arial" w:hAnsi="Arial" w:cs="Arial"/>
                <w:b/>
                <w:bCs/>
                <w:sz w:val="18"/>
                <w:szCs w:val="18"/>
              </w:rPr>
              <w:t>grade</w:t>
            </w:r>
            <w:proofErr w:type="spellEnd"/>
            <w:r w:rsidRPr="71854CB5">
              <w:rPr>
                <w:rFonts w:ascii="Arial" w:eastAsia="Arial" w:hAnsi="Arial" w:cs="Arial"/>
                <w:b/>
                <w:bCs/>
                <w:sz w:val="18"/>
                <w:szCs w:val="18"/>
              </w:rPr>
              <w:t>)</w:t>
            </w:r>
            <w:r w:rsidRPr="71854CB5">
              <w:rPr>
                <w:rFonts w:ascii="Arial" w:eastAsia="Arial" w:hAnsi="Arial" w:cs="Arial"/>
                <w:sz w:val="18"/>
                <w:szCs w:val="18"/>
              </w:rPr>
              <w:t xml:space="preserve"> – the </w:t>
            </w:r>
            <w:proofErr w:type="spellStart"/>
            <w:r w:rsidRPr="71854CB5">
              <w:rPr>
                <w:rFonts w:ascii="Arial" w:eastAsia="Arial" w:hAnsi="Arial" w:cs="Arial"/>
                <w:sz w:val="18"/>
                <w:szCs w:val="18"/>
              </w:rPr>
              <w:t>exam</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will</w:t>
            </w:r>
            <w:proofErr w:type="spellEnd"/>
            <w:r w:rsidRPr="71854CB5">
              <w:rPr>
                <w:rFonts w:ascii="Arial" w:eastAsia="Arial" w:hAnsi="Arial" w:cs="Arial"/>
                <w:sz w:val="18"/>
                <w:szCs w:val="18"/>
              </w:rPr>
              <w:t xml:space="preserve"> test </w:t>
            </w:r>
            <w:proofErr w:type="spellStart"/>
            <w:r w:rsidRPr="71854CB5">
              <w:rPr>
                <w:rFonts w:ascii="Arial" w:eastAsia="Arial" w:hAnsi="Arial" w:cs="Arial"/>
                <w:sz w:val="18"/>
                <w:szCs w:val="18"/>
              </w:rPr>
              <w:t>both</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theoretical</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knowledge</w:t>
            </w:r>
            <w:proofErr w:type="spellEnd"/>
            <w:r w:rsidRPr="71854CB5">
              <w:rPr>
                <w:rFonts w:ascii="Arial" w:eastAsia="Arial" w:hAnsi="Arial" w:cs="Arial"/>
                <w:sz w:val="18"/>
                <w:szCs w:val="18"/>
              </w:rPr>
              <w:t xml:space="preserve"> and </w:t>
            </w:r>
            <w:proofErr w:type="spellStart"/>
            <w:r w:rsidRPr="71854CB5">
              <w:rPr>
                <w:rFonts w:ascii="Arial" w:eastAsia="Arial" w:hAnsi="Arial" w:cs="Arial"/>
                <w:sz w:val="18"/>
                <w:szCs w:val="18"/>
              </w:rPr>
              <w:t>practical</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skills</w:t>
            </w:r>
            <w:proofErr w:type="spellEnd"/>
            <w:r w:rsidRPr="71854CB5">
              <w:rPr>
                <w:rFonts w:ascii="Arial" w:eastAsia="Arial" w:hAnsi="Arial" w:cs="Arial"/>
                <w:sz w:val="18"/>
                <w:szCs w:val="18"/>
              </w:rPr>
              <w:t xml:space="preserve">. It </w:t>
            </w:r>
            <w:proofErr w:type="spellStart"/>
            <w:r w:rsidRPr="71854CB5">
              <w:rPr>
                <w:rFonts w:ascii="Arial" w:eastAsia="Arial" w:hAnsi="Arial" w:cs="Arial"/>
                <w:sz w:val="18"/>
                <w:szCs w:val="18"/>
              </w:rPr>
              <w:t>may</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include</w:t>
            </w:r>
            <w:proofErr w:type="spellEnd"/>
            <w:r w:rsidRPr="71854CB5">
              <w:rPr>
                <w:rFonts w:ascii="Arial" w:eastAsia="Arial" w:hAnsi="Arial" w:cs="Arial"/>
                <w:sz w:val="18"/>
                <w:szCs w:val="18"/>
              </w:rPr>
              <w:t xml:space="preserve"> a </w:t>
            </w:r>
            <w:proofErr w:type="spellStart"/>
            <w:r w:rsidRPr="71854CB5">
              <w:rPr>
                <w:rFonts w:ascii="Arial" w:eastAsia="Arial" w:hAnsi="Arial" w:cs="Arial"/>
                <w:sz w:val="18"/>
                <w:szCs w:val="18"/>
              </w:rPr>
              <w:t>variety</w:t>
            </w:r>
            <w:proofErr w:type="spellEnd"/>
            <w:r w:rsidRPr="71854CB5">
              <w:rPr>
                <w:rFonts w:ascii="Arial" w:eastAsia="Arial" w:hAnsi="Arial" w:cs="Arial"/>
                <w:sz w:val="18"/>
                <w:szCs w:val="18"/>
              </w:rPr>
              <w:t xml:space="preserve"> of </w:t>
            </w:r>
            <w:proofErr w:type="spellStart"/>
            <w:r w:rsidRPr="71854CB5">
              <w:rPr>
                <w:rFonts w:ascii="Arial" w:eastAsia="Arial" w:hAnsi="Arial" w:cs="Arial"/>
                <w:sz w:val="18"/>
                <w:szCs w:val="18"/>
              </w:rPr>
              <w:t>task</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types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e</w:t>
            </w:r>
            <w:r w:rsidR="5B6A23D9" w:rsidRPr="71854CB5">
              <w:rPr>
                <w:rFonts w:ascii="Arial" w:eastAsia="Arial" w:hAnsi="Arial" w:cs="Arial"/>
                <w:sz w:val="18"/>
                <w:szCs w:val="18"/>
              </w:rPr>
              <w:t>.g</w:t>
            </w:r>
            <w:proofErr w:type="spellEnd"/>
            <w:r w:rsidR="5B6A23D9" w:rsidRPr="71854CB5">
              <w:rPr>
                <w:rFonts w:ascii="Arial" w:eastAsia="Arial" w:hAnsi="Arial" w:cs="Arial"/>
                <w:sz w:val="18"/>
                <w:szCs w:val="18"/>
              </w:rPr>
              <w:t>.</w:t>
            </w:r>
            <w:r w:rsidRPr="71854CB5">
              <w:rPr>
                <w:rFonts w:ascii="Arial" w:eastAsia="Arial" w:hAnsi="Arial" w:cs="Arial"/>
                <w:sz w:val="18"/>
                <w:szCs w:val="18"/>
              </w:rPr>
              <w:t xml:space="preserve">: </w:t>
            </w:r>
            <w:proofErr w:type="spellStart"/>
            <w:r w:rsidRPr="71854CB5">
              <w:rPr>
                <w:rFonts w:ascii="Arial" w:eastAsia="Arial" w:hAnsi="Arial" w:cs="Arial"/>
                <w:sz w:val="18"/>
                <w:szCs w:val="18"/>
              </w:rPr>
              <w:t>definitions</w:t>
            </w:r>
            <w:proofErr w:type="spellEnd"/>
            <w:r w:rsidRPr="71854CB5">
              <w:rPr>
                <w:rFonts w:ascii="Arial" w:eastAsia="Arial" w:hAnsi="Arial" w:cs="Arial"/>
                <w:sz w:val="18"/>
                <w:szCs w:val="18"/>
              </w:rPr>
              <w:t xml:space="preserve">, open and </w:t>
            </w:r>
            <w:proofErr w:type="spellStart"/>
            <w:r w:rsidRPr="71854CB5">
              <w:rPr>
                <w:rFonts w:ascii="Arial" w:eastAsia="Arial" w:hAnsi="Arial" w:cs="Arial"/>
                <w:sz w:val="18"/>
                <w:szCs w:val="18"/>
              </w:rPr>
              <w:t>semi</w:t>
            </w:r>
            <w:proofErr w:type="spellEnd"/>
            <w:r w:rsidRPr="71854CB5">
              <w:rPr>
                <w:rFonts w:ascii="Arial" w:eastAsia="Arial" w:hAnsi="Arial" w:cs="Arial"/>
                <w:sz w:val="18"/>
                <w:szCs w:val="18"/>
              </w:rPr>
              <w:t xml:space="preserve">-open </w:t>
            </w:r>
            <w:proofErr w:type="spellStart"/>
            <w:r w:rsidRPr="71854CB5">
              <w:rPr>
                <w:rFonts w:ascii="Arial" w:eastAsia="Arial" w:hAnsi="Arial" w:cs="Arial"/>
                <w:sz w:val="18"/>
                <w:szCs w:val="18"/>
              </w:rPr>
              <w:t>questions</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calculation</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problems</w:t>
            </w:r>
            <w:proofErr w:type="spellEnd"/>
            <w:r w:rsidRPr="71854CB5">
              <w:rPr>
                <w:rFonts w:ascii="Arial" w:eastAsia="Arial" w:hAnsi="Arial" w:cs="Arial"/>
                <w:sz w:val="18"/>
                <w:szCs w:val="18"/>
              </w:rPr>
              <w:t xml:space="preserve">, and </w:t>
            </w:r>
            <w:proofErr w:type="spellStart"/>
            <w:r w:rsidRPr="71854CB5">
              <w:rPr>
                <w:rFonts w:ascii="Arial" w:eastAsia="Arial" w:hAnsi="Arial" w:cs="Arial"/>
                <w:sz w:val="18"/>
                <w:szCs w:val="18"/>
              </w:rPr>
              <w:t>multiple</w:t>
            </w:r>
            <w:proofErr w:type="spellEnd"/>
            <w:r w:rsidRPr="71854CB5">
              <w:rPr>
                <w:rFonts w:ascii="Arial" w:eastAsia="Arial" w:hAnsi="Arial" w:cs="Arial"/>
                <w:sz w:val="18"/>
                <w:szCs w:val="18"/>
              </w:rPr>
              <w:t xml:space="preserve">-choice </w:t>
            </w:r>
            <w:proofErr w:type="spellStart"/>
            <w:r w:rsidRPr="71854CB5">
              <w:rPr>
                <w:rFonts w:ascii="Arial" w:eastAsia="Arial" w:hAnsi="Arial" w:cs="Arial"/>
                <w:sz w:val="18"/>
                <w:szCs w:val="18"/>
              </w:rPr>
              <w:t>questions</w:t>
            </w:r>
            <w:proofErr w:type="spellEnd"/>
            <w:r w:rsidRPr="71854CB5">
              <w:rPr>
                <w:rFonts w:ascii="Arial" w:eastAsia="Arial" w:hAnsi="Arial" w:cs="Arial"/>
                <w:sz w:val="18"/>
                <w:szCs w:val="18"/>
              </w:rPr>
              <w:t>.</w:t>
            </w:r>
          </w:p>
          <w:p w14:paraId="711895D6" w14:textId="15D4E506" w:rsidR="009C13A8" w:rsidRDefault="4A4CDB7A" w:rsidP="71854CB5">
            <w:pPr>
              <w:spacing w:before="240" w:after="240"/>
              <w:jc w:val="both"/>
              <w:rPr>
                <w:rFonts w:ascii="Arial" w:eastAsia="Arial" w:hAnsi="Arial" w:cs="Arial"/>
              </w:rPr>
            </w:pPr>
            <w:r w:rsidRPr="71854CB5">
              <w:rPr>
                <w:rFonts w:ascii="Arial" w:eastAsia="Arial" w:hAnsi="Arial" w:cs="Arial"/>
                <w:sz w:val="18"/>
                <w:szCs w:val="18"/>
              </w:rPr>
              <w:t xml:space="preserve">Grading </w:t>
            </w:r>
            <w:proofErr w:type="spellStart"/>
            <w:r w:rsidRPr="71854CB5">
              <w:rPr>
                <w:rFonts w:ascii="Arial" w:eastAsia="Arial" w:hAnsi="Arial" w:cs="Arial"/>
                <w:sz w:val="18"/>
                <w:szCs w:val="18"/>
              </w:rPr>
              <w:t>thresholds</w:t>
            </w:r>
            <w:proofErr w:type="spellEnd"/>
            <w:r w:rsidRPr="71854CB5">
              <w:rPr>
                <w:rFonts w:ascii="Arial" w:eastAsia="Arial" w:hAnsi="Arial" w:cs="Arial"/>
                <w:sz w:val="18"/>
                <w:szCs w:val="18"/>
              </w:rPr>
              <w:t>:</w:t>
            </w:r>
          </w:p>
          <w:p w14:paraId="2F57B397" w14:textId="3E87F503" w:rsidR="009C13A8" w:rsidRDefault="4A4CDB7A" w:rsidP="71854CB5">
            <w:pPr>
              <w:spacing w:before="240" w:after="240"/>
              <w:jc w:val="both"/>
              <w:rPr>
                <w:rFonts w:ascii="Arial" w:eastAsia="Arial" w:hAnsi="Arial" w:cs="Arial"/>
              </w:rPr>
            </w:pPr>
            <w:r w:rsidRPr="71854CB5">
              <w:rPr>
                <w:rFonts w:ascii="Arial" w:eastAsia="Arial" w:hAnsi="Arial" w:cs="Arial"/>
                <w:sz w:val="18"/>
                <w:szCs w:val="18"/>
              </w:rPr>
              <w:t xml:space="preserve">0–50% – </w:t>
            </w:r>
            <w:proofErr w:type="spellStart"/>
            <w:r w:rsidRPr="71854CB5">
              <w:rPr>
                <w:rFonts w:ascii="Arial" w:eastAsia="Arial" w:hAnsi="Arial" w:cs="Arial"/>
                <w:sz w:val="18"/>
                <w:szCs w:val="18"/>
              </w:rPr>
              <w:t>grade</w:t>
            </w:r>
            <w:proofErr w:type="spellEnd"/>
            <w:r w:rsidRPr="71854CB5">
              <w:rPr>
                <w:rFonts w:ascii="Arial" w:eastAsia="Arial" w:hAnsi="Arial" w:cs="Arial"/>
                <w:sz w:val="18"/>
                <w:szCs w:val="18"/>
              </w:rPr>
              <w:t xml:space="preserve"> 2 (</w:t>
            </w:r>
            <w:proofErr w:type="spellStart"/>
            <w:r w:rsidRPr="71854CB5">
              <w:rPr>
                <w:rFonts w:ascii="Arial" w:eastAsia="Arial" w:hAnsi="Arial" w:cs="Arial"/>
                <w:sz w:val="18"/>
                <w:szCs w:val="18"/>
              </w:rPr>
              <w:t>fail</w:t>
            </w:r>
            <w:proofErr w:type="spellEnd"/>
            <w:r w:rsidRPr="71854CB5">
              <w:rPr>
                <w:rFonts w:ascii="Arial" w:eastAsia="Arial" w:hAnsi="Arial" w:cs="Arial"/>
                <w:sz w:val="18"/>
                <w:szCs w:val="18"/>
              </w:rPr>
              <w:t>)</w:t>
            </w:r>
          </w:p>
          <w:p w14:paraId="65651BEE" w14:textId="22FD1ACD" w:rsidR="009C13A8" w:rsidRDefault="4A4CDB7A" w:rsidP="71854CB5">
            <w:pPr>
              <w:spacing w:before="240" w:after="240"/>
              <w:jc w:val="both"/>
              <w:rPr>
                <w:rFonts w:ascii="Arial" w:eastAsia="Arial" w:hAnsi="Arial" w:cs="Arial"/>
              </w:rPr>
            </w:pPr>
            <w:r w:rsidRPr="71854CB5">
              <w:rPr>
                <w:rFonts w:ascii="Arial" w:eastAsia="Arial" w:hAnsi="Arial" w:cs="Arial"/>
                <w:sz w:val="18"/>
                <w:szCs w:val="18"/>
              </w:rPr>
              <w:t xml:space="preserve">51–63% – </w:t>
            </w:r>
            <w:proofErr w:type="spellStart"/>
            <w:r w:rsidRPr="71854CB5">
              <w:rPr>
                <w:rFonts w:ascii="Arial" w:eastAsia="Arial" w:hAnsi="Arial" w:cs="Arial"/>
                <w:sz w:val="18"/>
                <w:szCs w:val="18"/>
              </w:rPr>
              <w:t>grade</w:t>
            </w:r>
            <w:proofErr w:type="spellEnd"/>
            <w:r w:rsidRPr="71854CB5">
              <w:rPr>
                <w:rFonts w:ascii="Arial" w:eastAsia="Arial" w:hAnsi="Arial" w:cs="Arial"/>
                <w:sz w:val="18"/>
                <w:szCs w:val="18"/>
              </w:rPr>
              <w:t xml:space="preserve"> 3 (</w:t>
            </w:r>
            <w:proofErr w:type="spellStart"/>
            <w:r w:rsidRPr="71854CB5">
              <w:rPr>
                <w:rFonts w:ascii="Arial" w:eastAsia="Arial" w:hAnsi="Arial" w:cs="Arial"/>
                <w:sz w:val="18"/>
                <w:szCs w:val="18"/>
              </w:rPr>
              <w:t>satisfactory</w:t>
            </w:r>
            <w:proofErr w:type="spellEnd"/>
            <w:r w:rsidRPr="71854CB5">
              <w:rPr>
                <w:rFonts w:ascii="Arial" w:eastAsia="Arial" w:hAnsi="Arial" w:cs="Arial"/>
                <w:sz w:val="18"/>
                <w:szCs w:val="18"/>
              </w:rPr>
              <w:t>)</w:t>
            </w:r>
          </w:p>
          <w:p w14:paraId="7B2AD1B4" w14:textId="0267C7FC" w:rsidR="009C13A8" w:rsidRDefault="4A4CDB7A" w:rsidP="71854CB5">
            <w:pPr>
              <w:spacing w:before="240" w:after="240"/>
              <w:jc w:val="both"/>
              <w:rPr>
                <w:rFonts w:ascii="Arial" w:eastAsia="Arial" w:hAnsi="Arial" w:cs="Arial"/>
              </w:rPr>
            </w:pPr>
            <w:r w:rsidRPr="71854CB5">
              <w:rPr>
                <w:rFonts w:ascii="Arial" w:eastAsia="Arial" w:hAnsi="Arial" w:cs="Arial"/>
                <w:sz w:val="18"/>
                <w:szCs w:val="18"/>
              </w:rPr>
              <w:t xml:space="preserve">64–72% – </w:t>
            </w:r>
            <w:proofErr w:type="spellStart"/>
            <w:r w:rsidRPr="71854CB5">
              <w:rPr>
                <w:rFonts w:ascii="Arial" w:eastAsia="Arial" w:hAnsi="Arial" w:cs="Arial"/>
                <w:sz w:val="18"/>
                <w:szCs w:val="18"/>
              </w:rPr>
              <w:t>grade</w:t>
            </w:r>
            <w:proofErr w:type="spellEnd"/>
            <w:r w:rsidRPr="71854CB5">
              <w:rPr>
                <w:rFonts w:ascii="Arial" w:eastAsia="Arial" w:hAnsi="Arial" w:cs="Arial"/>
                <w:sz w:val="18"/>
                <w:szCs w:val="18"/>
              </w:rPr>
              <w:t xml:space="preserve"> 3.5 (</w:t>
            </w:r>
            <w:proofErr w:type="spellStart"/>
            <w:r w:rsidRPr="71854CB5">
              <w:rPr>
                <w:rFonts w:ascii="Arial" w:eastAsia="Arial" w:hAnsi="Arial" w:cs="Arial"/>
                <w:sz w:val="18"/>
                <w:szCs w:val="18"/>
              </w:rPr>
              <w:t>satisfactory</w:t>
            </w:r>
            <w:proofErr w:type="spellEnd"/>
            <w:r w:rsidRPr="71854CB5">
              <w:rPr>
                <w:rFonts w:ascii="Arial" w:eastAsia="Arial" w:hAnsi="Arial" w:cs="Arial"/>
                <w:sz w:val="18"/>
                <w:szCs w:val="18"/>
              </w:rPr>
              <w:t xml:space="preserve"> plus)</w:t>
            </w:r>
          </w:p>
          <w:p w14:paraId="4645A1EC" w14:textId="6672F743" w:rsidR="009C13A8" w:rsidRDefault="4A4CDB7A" w:rsidP="71854CB5">
            <w:pPr>
              <w:spacing w:before="240" w:after="240"/>
              <w:jc w:val="both"/>
              <w:rPr>
                <w:rFonts w:ascii="Arial" w:eastAsia="Arial" w:hAnsi="Arial" w:cs="Arial"/>
              </w:rPr>
            </w:pPr>
            <w:r w:rsidRPr="71854CB5">
              <w:rPr>
                <w:rFonts w:ascii="Arial" w:eastAsia="Arial" w:hAnsi="Arial" w:cs="Arial"/>
                <w:sz w:val="18"/>
                <w:szCs w:val="18"/>
              </w:rPr>
              <w:t xml:space="preserve">73–81% – </w:t>
            </w:r>
            <w:proofErr w:type="spellStart"/>
            <w:r w:rsidRPr="71854CB5">
              <w:rPr>
                <w:rFonts w:ascii="Arial" w:eastAsia="Arial" w:hAnsi="Arial" w:cs="Arial"/>
                <w:sz w:val="18"/>
                <w:szCs w:val="18"/>
              </w:rPr>
              <w:t>grade</w:t>
            </w:r>
            <w:proofErr w:type="spellEnd"/>
            <w:r w:rsidRPr="71854CB5">
              <w:rPr>
                <w:rFonts w:ascii="Arial" w:eastAsia="Arial" w:hAnsi="Arial" w:cs="Arial"/>
                <w:sz w:val="18"/>
                <w:szCs w:val="18"/>
              </w:rPr>
              <w:t xml:space="preserve"> 4 (</w:t>
            </w:r>
            <w:proofErr w:type="spellStart"/>
            <w:r w:rsidRPr="71854CB5">
              <w:rPr>
                <w:rFonts w:ascii="Arial" w:eastAsia="Arial" w:hAnsi="Arial" w:cs="Arial"/>
                <w:sz w:val="18"/>
                <w:szCs w:val="18"/>
              </w:rPr>
              <w:t>good</w:t>
            </w:r>
            <w:proofErr w:type="spellEnd"/>
            <w:r w:rsidRPr="71854CB5">
              <w:rPr>
                <w:rFonts w:ascii="Arial" w:eastAsia="Arial" w:hAnsi="Arial" w:cs="Arial"/>
                <w:sz w:val="18"/>
                <w:szCs w:val="18"/>
              </w:rPr>
              <w:t>)</w:t>
            </w:r>
          </w:p>
          <w:p w14:paraId="298E1148" w14:textId="581848FF" w:rsidR="009C13A8" w:rsidRDefault="4A4CDB7A" w:rsidP="71854CB5">
            <w:pPr>
              <w:spacing w:before="240" w:after="240"/>
              <w:jc w:val="both"/>
              <w:rPr>
                <w:rFonts w:ascii="Arial" w:eastAsia="Arial" w:hAnsi="Arial" w:cs="Arial"/>
              </w:rPr>
            </w:pPr>
            <w:r w:rsidRPr="71854CB5">
              <w:rPr>
                <w:rFonts w:ascii="Arial" w:eastAsia="Arial" w:hAnsi="Arial" w:cs="Arial"/>
                <w:sz w:val="18"/>
                <w:szCs w:val="18"/>
              </w:rPr>
              <w:t xml:space="preserve">82–88% – </w:t>
            </w:r>
            <w:proofErr w:type="spellStart"/>
            <w:r w:rsidRPr="71854CB5">
              <w:rPr>
                <w:rFonts w:ascii="Arial" w:eastAsia="Arial" w:hAnsi="Arial" w:cs="Arial"/>
                <w:sz w:val="18"/>
                <w:szCs w:val="18"/>
              </w:rPr>
              <w:t>grade</w:t>
            </w:r>
            <w:proofErr w:type="spellEnd"/>
            <w:r w:rsidRPr="71854CB5">
              <w:rPr>
                <w:rFonts w:ascii="Arial" w:eastAsia="Arial" w:hAnsi="Arial" w:cs="Arial"/>
                <w:sz w:val="18"/>
                <w:szCs w:val="18"/>
              </w:rPr>
              <w:t xml:space="preserve"> 4.5 (</w:t>
            </w:r>
            <w:proofErr w:type="spellStart"/>
            <w:r w:rsidRPr="71854CB5">
              <w:rPr>
                <w:rFonts w:ascii="Arial" w:eastAsia="Arial" w:hAnsi="Arial" w:cs="Arial"/>
                <w:sz w:val="18"/>
                <w:szCs w:val="18"/>
              </w:rPr>
              <w:t>good</w:t>
            </w:r>
            <w:proofErr w:type="spellEnd"/>
            <w:r w:rsidRPr="71854CB5">
              <w:rPr>
                <w:rFonts w:ascii="Arial" w:eastAsia="Arial" w:hAnsi="Arial" w:cs="Arial"/>
                <w:sz w:val="18"/>
                <w:szCs w:val="18"/>
              </w:rPr>
              <w:t xml:space="preserve"> plus)</w:t>
            </w:r>
          </w:p>
          <w:p w14:paraId="78838AAB" w14:textId="3E9A5620" w:rsidR="009C13A8" w:rsidRDefault="4A4CDB7A" w:rsidP="71854CB5">
            <w:pPr>
              <w:spacing w:before="240" w:after="240"/>
              <w:jc w:val="both"/>
              <w:rPr>
                <w:rFonts w:ascii="Arial" w:eastAsia="Arial" w:hAnsi="Arial" w:cs="Arial"/>
              </w:rPr>
            </w:pPr>
            <w:r w:rsidRPr="71854CB5">
              <w:rPr>
                <w:rFonts w:ascii="Arial" w:eastAsia="Arial" w:hAnsi="Arial" w:cs="Arial"/>
                <w:sz w:val="18"/>
                <w:szCs w:val="18"/>
              </w:rPr>
              <w:t xml:space="preserve">89–96% – </w:t>
            </w:r>
            <w:proofErr w:type="spellStart"/>
            <w:r w:rsidRPr="71854CB5">
              <w:rPr>
                <w:rFonts w:ascii="Arial" w:eastAsia="Arial" w:hAnsi="Arial" w:cs="Arial"/>
                <w:sz w:val="18"/>
                <w:szCs w:val="18"/>
              </w:rPr>
              <w:t>grade</w:t>
            </w:r>
            <w:proofErr w:type="spellEnd"/>
            <w:r w:rsidRPr="71854CB5">
              <w:rPr>
                <w:rFonts w:ascii="Arial" w:eastAsia="Arial" w:hAnsi="Arial" w:cs="Arial"/>
                <w:sz w:val="18"/>
                <w:szCs w:val="18"/>
              </w:rPr>
              <w:t xml:space="preserve"> 5 (</w:t>
            </w:r>
            <w:proofErr w:type="spellStart"/>
            <w:r w:rsidRPr="71854CB5">
              <w:rPr>
                <w:rFonts w:ascii="Arial" w:eastAsia="Arial" w:hAnsi="Arial" w:cs="Arial"/>
                <w:sz w:val="18"/>
                <w:szCs w:val="18"/>
              </w:rPr>
              <w:t>very</w:t>
            </w:r>
            <w:proofErr w:type="spellEnd"/>
            <w:r w:rsidRPr="71854CB5">
              <w:rPr>
                <w:rFonts w:ascii="Arial" w:eastAsia="Arial" w:hAnsi="Arial" w:cs="Arial"/>
                <w:sz w:val="18"/>
                <w:szCs w:val="18"/>
              </w:rPr>
              <w:t xml:space="preserve"> </w:t>
            </w:r>
            <w:proofErr w:type="spellStart"/>
            <w:r w:rsidRPr="71854CB5">
              <w:rPr>
                <w:rFonts w:ascii="Arial" w:eastAsia="Arial" w:hAnsi="Arial" w:cs="Arial"/>
                <w:sz w:val="18"/>
                <w:szCs w:val="18"/>
              </w:rPr>
              <w:t>good</w:t>
            </w:r>
            <w:proofErr w:type="spellEnd"/>
            <w:r w:rsidRPr="71854CB5">
              <w:rPr>
                <w:rFonts w:ascii="Arial" w:eastAsia="Arial" w:hAnsi="Arial" w:cs="Arial"/>
                <w:sz w:val="18"/>
                <w:szCs w:val="18"/>
              </w:rPr>
              <w:t>)</w:t>
            </w:r>
          </w:p>
          <w:p w14:paraId="3D633959" w14:textId="1E96F7AF" w:rsidR="009C13A8" w:rsidRDefault="4A4CDB7A" w:rsidP="71854CB5">
            <w:pPr>
              <w:spacing w:before="240" w:after="240"/>
              <w:jc w:val="both"/>
              <w:rPr>
                <w:rFonts w:ascii="Arial" w:eastAsia="Arial" w:hAnsi="Arial" w:cs="Arial"/>
              </w:rPr>
            </w:pPr>
            <w:r w:rsidRPr="71854CB5">
              <w:rPr>
                <w:rFonts w:ascii="Arial" w:eastAsia="Arial" w:hAnsi="Arial" w:cs="Arial"/>
                <w:sz w:val="18"/>
                <w:szCs w:val="18"/>
              </w:rPr>
              <w:t xml:space="preserve">97–100% – </w:t>
            </w:r>
            <w:proofErr w:type="spellStart"/>
            <w:r w:rsidRPr="71854CB5">
              <w:rPr>
                <w:rFonts w:ascii="Arial" w:eastAsia="Arial" w:hAnsi="Arial" w:cs="Arial"/>
                <w:sz w:val="18"/>
                <w:szCs w:val="18"/>
              </w:rPr>
              <w:t>grade</w:t>
            </w:r>
            <w:proofErr w:type="spellEnd"/>
            <w:r w:rsidRPr="71854CB5">
              <w:rPr>
                <w:rFonts w:ascii="Arial" w:eastAsia="Arial" w:hAnsi="Arial" w:cs="Arial"/>
                <w:sz w:val="18"/>
                <w:szCs w:val="18"/>
              </w:rPr>
              <w:t xml:space="preserve"> 5! (</w:t>
            </w:r>
            <w:proofErr w:type="spellStart"/>
            <w:r w:rsidRPr="71854CB5">
              <w:rPr>
                <w:rFonts w:ascii="Arial" w:eastAsia="Arial" w:hAnsi="Arial" w:cs="Arial"/>
                <w:sz w:val="18"/>
                <w:szCs w:val="18"/>
              </w:rPr>
              <w:t>excellent</w:t>
            </w:r>
            <w:proofErr w:type="spellEnd"/>
            <w:r w:rsidRPr="71854CB5">
              <w:rPr>
                <w:rFonts w:ascii="Arial" w:eastAsia="Arial" w:hAnsi="Arial" w:cs="Arial"/>
                <w:sz w:val="18"/>
                <w:szCs w:val="18"/>
              </w:rPr>
              <w:t>)</w:t>
            </w:r>
          </w:p>
        </w:tc>
      </w:tr>
      <w:tr w:rsidR="009C13A8" w14:paraId="3BE9B0FD" w14:textId="77777777" w:rsidTr="71854CB5">
        <w:tc>
          <w:tcPr>
            <w:tcW w:w="2988" w:type="dxa"/>
            <w:gridSpan w:val="2"/>
          </w:tcPr>
          <w:p w14:paraId="7A81063D" w14:textId="77777777" w:rsidR="009C13A8" w:rsidRDefault="009C13A8" w:rsidP="009C13A8">
            <w:pPr>
              <w:rPr>
                <w:rFonts w:ascii="Calibri" w:hAnsi="Calibri" w:cs="Calibri"/>
                <w:sz w:val="22"/>
                <w:szCs w:val="22"/>
              </w:rPr>
            </w:pPr>
            <w:proofErr w:type="spellStart"/>
            <w:r>
              <w:rPr>
                <w:rFonts w:ascii="Calibri" w:hAnsi="Calibri" w:cs="Calibri"/>
                <w:color w:val="000000"/>
                <w:sz w:val="22"/>
                <w:szCs w:val="22"/>
              </w:rPr>
              <w:t>Type</w:t>
            </w:r>
            <w:proofErr w:type="spellEnd"/>
            <w:r>
              <w:rPr>
                <w:rFonts w:ascii="Calibri" w:hAnsi="Calibri" w:cs="Calibri"/>
                <w:color w:val="000000"/>
                <w:sz w:val="22"/>
                <w:szCs w:val="22"/>
              </w:rPr>
              <w:t xml:space="preserve"> of </w:t>
            </w:r>
            <w:proofErr w:type="spellStart"/>
            <w:r>
              <w:rPr>
                <w:rFonts w:ascii="Calibri" w:hAnsi="Calibri" w:cs="Calibri"/>
                <w:color w:val="000000"/>
                <w:sz w:val="22"/>
                <w:szCs w:val="22"/>
              </w:rPr>
              <w:t>examination</w:t>
            </w:r>
            <w:proofErr w:type="spellEnd"/>
          </w:p>
        </w:tc>
        <w:tc>
          <w:tcPr>
            <w:tcW w:w="6224" w:type="dxa"/>
          </w:tcPr>
          <w:p w14:paraId="4D4DDE27" w14:textId="77777777" w:rsidR="009C13A8" w:rsidRDefault="00DE1E00" w:rsidP="009C13A8">
            <w:pPr>
              <w:pStyle w:val="Nagwek2"/>
              <w:spacing w:before="0" w:beforeAutospacing="0" w:after="0" w:afterAutospacing="0"/>
              <w:jc w:val="both"/>
              <w:rPr>
                <w:rFonts w:ascii="Calibri" w:hAnsi="Calibri" w:cs="Calibri"/>
                <w:b w:val="0"/>
                <w:bCs w:val="0"/>
                <w:sz w:val="22"/>
                <w:szCs w:val="22"/>
                <w:lang w:val="en-US"/>
              </w:rPr>
            </w:pPr>
            <w:r>
              <w:rPr>
                <w:rFonts w:ascii="Calibri" w:hAnsi="Calibri" w:cs="Calibri"/>
                <w:b w:val="0"/>
                <w:bCs w:val="0"/>
                <w:sz w:val="22"/>
                <w:szCs w:val="22"/>
                <w:lang w:val="en-US"/>
              </w:rPr>
              <w:t>Ongoing assessment and projects</w:t>
            </w:r>
          </w:p>
        </w:tc>
      </w:tr>
      <w:tr w:rsidR="009C13A8" w14:paraId="11D61A17" w14:textId="77777777" w:rsidTr="71854CB5">
        <w:tc>
          <w:tcPr>
            <w:tcW w:w="2988" w:type="dxa"/>
            <w:gridSpan w:val="2"/>
          </w:tcPr>
          <w:p w14:paraId="4DF09FBC" w14:textId="77777777" w:rsidR="009C13A8" w:rsidRDefault="009C13A8" w:rsidP="009C13A8">
            <w:pPr>
              <w:rPr>
                <w:rFonts w:ascii="Calibri" w:hAnsi="Calibri" w:cs="Calibri"/>
                <w:sz w:val="22"/>
                <w:szCs w:val="22"/>
              </w:rPr>
            </w:pPr>
            <w:proofErr w:type="spellStart"/>
            <w:r>
              <w:rPr>
                <w:rFonts w:ascii="Calibri" w:hAnsi="Calibri" w:cs="Calibri"/>
                <w:color w:val="000000"/>
                <w:sz w:val="22"/>
                <w:szCs w:val="22"/>
              </w:rPr>
              <w:t>Type</w:t>
            </w:r>
            <w:proofErr w:type="spellEnd"/>
            <w:r>
              <w:rPr>
                <w:rFonts w:ascii="Calibri" w:hAnsi="Calibri" w:cs="Calibri"/>
                <w:color w:val="000000"/>
                <w:sz w:val="22"/>
                <w:szCs w:val="22"/>
              </w:rPr>
              <w:t xml:space="preserve"> of </w:t>
            </w:r>
            <w:proofErr w:type="spellStart"/>
            <w:r>
              <w:rPr>
                <w:rFonts w:ascii="Calibri" w:hAnsi="Calibri" w:cs="Calibri"/>
                <w:color w:val="000000"/>
                <w:sz w:val="22"/>
                <w:szCs w:val="22"/>
              </w:rPr>
              <w:t>course</w:t>
            </w:r>
            <w:proofErr w:type="spellEnd"/>
          </w:p>
        </w:tc>
        <w:tc>
          <w:tcPr>
            <w:tcW w:w="6224" w:type="dxa"/>
          </w:tcPr>
          <w:p w14:paraId="1C45F1AE" w14:textId="77777777" w:rsidR="009C13A8" w:rsidRDefault="00DE1E00" w:rsidP="009C13A8">
            <w:pPr>
              <w:jc w:val="both"/>
              <w:rPr>
                <w:rFonts w:ascii="Calibri" w:hAnsi="Calibri" w:cs="Calibri"/>
                <w:sz w:val="22"/>
                <w:szCs w:val="22"/>
              </w:rPr>
            </w:pPr>
            <w:proofErr w:type="spellStart"/>
            <w:r>
              <w:rPr>
                <w:rFonts w:ascii="Calibri" w:hAnsi="Calibri" w:cs="Calibri"/>
                <w:sz w:val="22"/>
                <w:szCs w:val="22"/>
              </w:rPr>
              <w:t>Obligatory</w:t>
            </w:r>
            <w:proofErr w:type="spellEnd"/>
          </w:p>
        </w:tc>
      </w:tr>
      <w:tr w:rsidR="009C13A8" w14:paraId="45383CAD" w14:textId="77777777" w:rsidTr="71854CB5">
        <w:tc>
          <w:tcPr>
            <w:tcW w:w="2988" w:type="dxa"/>
            <w:gridSpan w:val="2"/>
          </w:tcPr>
          <w:p w14:paraId="4983BF7C" w14:textId="77777777" w:rsidR="009C13A8" w:rsidRDefault="009C13A8" w:rsidP="009C13A8">
            <w:pPr>
              <w:rPr>
                <w:rFonts w:ascii="Calibri" w:hAnsi="Calibri" w:cs="Calibri"/>
                <w:sz w:val="22"/>
                <w:szCs w:val="22"/>
                <w:lang w:val="en-US"/>
              </w:rPr>
            </w:pPr>
            <w:r>
              <w:rPr>
                <w:rFonts w:ascii="Calibri" w:hAnsi="Calibri" w:cs="Calibri"/>
                <w:sz w:val="22"/>
                <w:szCs w:val="22"/>
                <w:lang w:val="en-US"/>
              </w:rPr>
              <w:t>Mode of delivery</w:t>
            </w:r>
          </w:p>
        </w:tc>
        <w:tc>
          <w:tcPr>
            <w:tcW w:w="6224" w:type="dxa"/>
          </w:tcPr>
          <w:p w14:paraId="7D14127E" w14:textId="77777777" w:rsidR="009C13A8" w:rsidRDefault="00DE1E00" w:rsidP="009C13A8">
            <w:pPr>
              <w:jc w:val="both"/>
              <w:rPr>
                <w:rFonts w:ascii="Calibri" w:hAnsi="Calibri" w:cs="Calibri"/>
                <w:sz w:val="22"/>
                <w:szCs w:val="22"/>
                <w:lang w:val="en-US"/>
              </w:rPr>
            </w:pPr>
            <w:r>
              <w:rPr>
                <w:rFonts w:ascii="Calibri" w:hAnsi="Calibri" w:cs="Calibri"/>
                <w:sz w:val="22"/>
                <w:szCs w:val="22"/>
                <w:lang w:val="en-US"/>
              </w:rPr>
              <w:t>On-site</w:t>
            </w:r>
          </w:p>
        </w:tc>
      </w:tr>
      <w:tr w:rsidR="009C13A8" w14:paraId="22D7D711" w14:textId="77777777" w:rsidTr="71854CB5">
        <w:tc>
          <w:tcPr>
            <w:tcW w:w="2988" w:type="dxa"/>
            <w:gridSpan w:val="2"/>
          </w:tcPr>
          <w:p w14:paraId="3B3CB8A9" w14:textId="77777777" w:rsidR="009C13A8" w:rsidRDefault="009C13A8" w:rsidP="009C13A8">
            <w:pPr>
              <w:rPr>
                <w:rFonts w:ascii="Calibri" w:hAnsi="Calibri" w:cs="Calibri"/>
                <w:sz w:val="22"/>
                <w:szCs w:val="22"/>
              </w:rPr>
            </w:pPr>
            <w:r>
              <w:rPr>
                <w:rFonts w:ascii="Calibri" w:hAnsi="Calibri" w:cs="Calibri"/>
                <w:color w:val="000000"/>
                <w:sz w:val="22"/>
                <w:szCs w:val="22"/>
              </w:rPr>
              <w:t xml:space="preserve">Language of </w:t>
            </w:r>
            <w:proofErr w:type="spellStart"/>
            <w:r>
              <w:rPr>
                <w:rFonts w:ascii="Calibri" w:hAnsi="Calibri" w:cs="Calibri"/>
                <w:color w:val="000000"/>
                <w:sz w:val="22"/>
                <w:szCs w:val="22"/>
              </w:rPr>
              <w:t>instruction</w:t>
            </w:r>
            <w:proofErr w:type="spellEnd"/>
          </w:p>
        </w:tc>
        <w:tc>
          <w:tcPr>
            <w:tcW w:w="6224" w:type="dxa"/>
          </w:tcPr>
          <w:p w14:paraId="5EA1371E" w14:textId="77777777" w:rsidR="009C13A8" w:rsidRDefault="009C13A8" w:rsidP="009C13A8">
            <w:pPr>
              <w:jc w:val="both"/>
              <w:rPr>
                <w:rFonts w:ascii="Calibri" w:hAnsi="Calibri" w:cs="Calibri"/>
                <w:sz w:val="22"/>
                <w:szCs w:val="22"/>
              </w:rPr>
            </w:pPr>
            <w:r>
              <w:rPr>
                <w:rFonts w:ascii="Calibri" w:hAnsi="Calibri" w:cs="Calibri"/>
                <w:sz w:val="22"/>
                <w:szCs w:val="22"/>
              </w:rPr>
              <w:t xml:space="preserve">English </w:t>
            </w:r>
          </w:p>
        </w:tc>
      </w:tr>
      <w:tr w:rsidR="009C13A8" w14:paraId="7CAD97B6" w14:textId="77777777" w:rsidTr="71854CB5">
        <w:tc>
          <w:tcPr>
            <w:tcW w:w="2988" w:type="dxa"/>
            <w:gridSpan w:val="2"/>
          </w:tcPr>
          <w:p w14:paraId="61104D87" w14:textId="77777777" w:rsidR="009C13A8" w:rsidRDefault="009C13A8" w:rsidP="009C13A8">
            <w:pPr>
              <w:textAlignment w:val="top"/>
              <w:outlineLvl w:val="2"/>
              <w:rPr>
                <w:rFonts w:ascii="Calibri" w:hAnsi="Calibri" w:cs="Calibri"/>
                <w:sz w:val="22"/>
                <w:szCs w:val="22"/>
              </w:rPr>
            </w:pPr>
            <w:proofErr w:type="spellStart"/>
            <w:r>
              <w:rPr>
                <w:rFonts w:ascii="Calibri" w:hAnsi="Calibri" w:cs="Calibri"/>
                <w:sz w:val="22"/>
                <w:szCs w:val="22"/>
              </w:rPr>
              <w:t>Bibliography</w:t>
            </w:r>
            <w:proofErr w:type="spellEnd"/>
            <w:r>
              <w:rPr>
                <w:rFonts w:ascii="Calibri" w:hAnsi="Calibri" w:cs="Calibri"/>
                <w:sz w:val="22"/>
                <w:szCs w:val="22"/>
              </w:rPr>
              <w:t xml:space="preserve"> </w:t>
            </w:r>
          </w:p>
        </w:tc>
        <w:tc>
          <w:tcPr>
            <w:tcW w:w="6224" w:type="dxa"/>
          </w:tcPr>
          <w:p w14:paraId="3F973FC0" w14:textId="0BFC9DA7" w:rsidR="009C13A8" w:rsidRDefault="2784EE07" w:rsidP="009C13A8">
            <w:pPr>
              <w:pStyle w:val="Tekstpodstawowy"/>
              <w:tabs>
                <w:tab w:val="left" w:pos="284"/>
              </w:tabs>
              <w:overflowPunct/>
              <w:autoSpaceDE/>
              <w:autoSpaceDN/>
              <w:adjustRightInd/>
              <w:textAlignment w:val="auto"/>
            </w:pPr>
            <w:r w:rsidRPr="71854CB5">
              <w:rPr>
                <w:b/>
                <w:bCs/>
                <w:lang w:val="en-US"/>
              </w:rPr>
              <w:t>Mishkin, F. S.</w:t>
            </w:r>
            <w:r w:rsidRPr="71854CB5">
              <w:rPr>
                <w:lang w:val="en-US"/>
              </w:rPr>
              <w:t xml:space="preserve"> (2018). </w:t>
            </w:r>
            <w:r w:rsidRPr="71854CB5">
              <w:rPr>
                <w:i/>
                <w:iCs/>
                <w:lang w:val="en-US"/>
              </w:rPr>
              <w:t>Economics of money, banking and financial markets</w:t>
            </w:r>
            <w:r w:rsidRPr="71854CB5">
              <w:rPr>
                <w:lang w:val="en-US"/>
              </w:rPr>
              <w:t xml:space="preserve"> (12th ed.). Pearson.</w:t>
            </w:r>
          </w:p>
          <w:p w14:paraId="5A870556" w14:textId="4C61844D" w:rsidR="009C13A8" w:rsidRDefault="2784EE07" w:rsidP="71854CB5">
            <w:proofErr w:type="spellStart"/>
            <w:r w:rsidRPr="71854CB5">
              <w:rPr>
                <w:b/>
                <w:bCs/>
                <w:lang w:val="en-US"/>
              </w:rPr>
              <w:t>Resti</w:t>
            </w:r>
            <w:proofErr w:type="spellEnd"/>
            <w:r w:rsidRPr="71854CB5">
              <w:rPr>
                <w:b/>
                <w:bCs/>
                <w:lang w:val="en-US"/>
              </w:rPr>
              <w:t xml:space="preserve">, A., &amp; </w:t>
            </w:r>
            <w:proofErr w:type="spellStart"/>
            <w:r w:rsidRPr="71854CB5">
              <w:rPr>
                <w:b/>
                <w:bCs/>
                <w:lang w:val="en-US"/>
              </w:rPr>
              <w:t>Sironi</w:t>
            </w:r>
            <w:proofErr w:type="spellEnd"/>
            <w:r w:rsidRPr="71854CB5">
              <w:rPr>
                <w:b/>
                <w:bCs/>
                <w:lang w:val="en-US"/>
              </w:rPr>
              <w:t>, A.</w:t>
            </w:r>
            <w:r w:rsidRPr="71854CB5">
              <w:rPr>
                <w:lang w:val="en-US"/>
              </w:rPr>
              <w:t xml:space="preserve"> (2007). </w:t>
            </w:r>
            <w:r w:rsidRPr="71854CB5">
              <w:rPr>
                <w:i/>
                <w:iCs/>
                <w:lang w:val="en-US"/>
              </w:rPr>
              <w:t>Risk management and shareholders’ value in banking: From risk measurement models to capital allocation policies</w:t>
            </w:r>
            <w:r w:rsidRPr="71854CB5">
              <w:rPr>
                <w:lang w:val="en-US"/>
              </w:rPr>
              <w:t>. John Wiley &amp; Sons.</w:t>
            </w:r>
          </w:p>
          <w:p w14:paraId="7ADFDF22" w14:textId="64D0605D" w:rsidR="009C13A8" w:rsidRDefault="2784EE07" w:rsidP="71854CB5">
            <w:pPr>
              <w:spacing w:before="240" w:after="240"/>
            </w:pPr>
            <w:proofErr w:type="spellStart"/>
            <w:r w:rsidRPr="71854CB5">
              <w:rPr>
                <w:b/>
                <w:bCs/>
                <w:lang w:val="en-US"/>
              </w:rPr>
              <w:t>Casu</w:t>
            </w:r>
            <w:proofErr w:type="spellEnd"/>
            <w:r w:rsidRPr="71854CB5">
              <w:rPr>
                <w:b/>
                <w:bCs/>
                <w:lang w:val="en-US"/>
              </w:rPr>
              <w:t xml:space="preserve">, B., </w:t>
            </w:r>
            <w:proofErr w:type="spellStart"/>
            <w:r w:rsidRPr="71854CB5">
              <w:rPr>
                <w:b/>
                <w:bCs/>
                <w:lang w:val="en-US"/>
              </w:rPr>
              <w:t>Girardone</w:t>
            </w:r>
            <w:proofErr w:type="spellEnd"/>
            <w:r w:rsidRPr="71854CB5">
              <w:rPr>
                <w:b/>
                <w:bCs/>
                <w:lang w:val="en-US"/>
              </w:rPr>
              <w:t xml:space="preserve">, C., &amp; Molyneux, P. (2022). </w:t>
            </w:r>
            <w:r w:rsidRPr="71854CB5">
              <w:rPr>
                <w:b/>
                <w:bCs/>
                <w:i/>
                <w:iCs/>
                <w:lang w:val="en-US"/>
              </w:rPr>
              <w:t>Introduction to banking</w:t>
            </w:r>
            <w:r w:rsidRPr="71854CB5">
              <w:rPr>
                <w:b/>
                <w:bCs/>
                <w:lang w:val="en-US"/>
              </w:rPr>
              <w:t xml:space="preserve"> (3rd ed.). Pearson.</w:t>
            </w:r>
          </w:p>
          <w:p w14:paraId="29D6B04F" w14:textId="219E9A94" w:rsidR="009C13A8" w:rsidRDefault="2784EE07" w:rsidP="71854CB5">
            <w:pPr>
              <w:spacing w:before="240" w:after="240"/>
            </w:pPr>
            <w:r w:rsidRPr="71854CB5">
              <w:rPr>
                <w:b/>
                <w:bCs/>
                <w:lang w:val="en-US"/>
              </w:rPr>
              <w:lastRenderedPageBreak/>
              <w:t xml:space="preserve">Choudhry, M. (2022). </w:t>
            </w:r>
            <w:r w:rsidRPr="71854CB5">
              <w:rPr>
                <w:b/>
                <w:bCs/>
                <w:i/>
                <w:iCs/>
                <w:lang w:val="en-US"/>
              </w:rPr>
              <w:t>The principles of banking</w:t>
            </w:r>
            <w:r w:rsidRPr="71854CB5">
              <w:rPr>
                <w:b/>
                <w:bCs/>
                <w:lang w:val="en-US"/>
              </w:rPr>
              <w:t xml:space="preserve"> (2nd ed.). John Wiley &amp; Sons.</w:t>
            </w:r>
          </w:p>
          <w:p w14:paraId="40683C6E" w14:textId="77777777" w:rsidR="009C13A8" w:rsidRDefault="009C13A8" w:rsidP="009C13A8">
            <w:pPr>
              <w:pStyle w:val="Nagwek2"/>
              <w:spacing w:before="0" w:beforeAutospacing="0" w:after="0" w:afterAutospacing="0"/>
              <w:jc w:val="both"/>
              <w:rPr>
                <w:rFonts w:ascii="Calibri" w:hAnsi="Calibri" w:cs="Calibri"/>
                <w:b w:val="0"/>
                <w:bCs w:val="0"/>
                <w:i/>
                <w:color w:val="008000"/>
                <w:sz w:val="22"/>
                <w:szCs w:val="22"/>
                <w:lang w:val="en-US"/>
              </w:rPr>
            </w:pPr>
            <w:r>
              <w:rPr>
                <w:rFonts w:ascii="Calibri" w:hAnsi="Calibri" w:cs="Calibri"/>
                <w:b w:val="0"/>
                <w:bCs w:val="0"/>
                <w:sz w:val="22"/>
                <w:szCs w:val="22"/>
                <w:lang w:val="en-US"/>
              </w:rPr>
              <w:t>Other materials, e.g. links to example regulatory standards, research papers  (if necessary) shall be delivered during lectures.</w:t>
            </w:r>
          </w:p>
        </w:tc>
      </w:tr>
      <w:tr w:rsidR="009C13A8" w14:paraId="24F2DF8E" w14:textId="77777777" w:rsidTr="71854CB5">
        <w:tc>
          <w:tcPr>
            <w:tcW w:w="2988" w:type="dxa"/>
            <w:gridSpan w:val="2"/>
          </w:tcPr>
          <w:p w14:paraId="2E40D473" w14:textId="77777777" w:rsidR="009C13A8" w:rsidRDefault="009C13A8" w:rsidP="009C13A8">
            <w:pPr>
              <w:rPr>
                <w:rFonts w:ascii="Calibri" w:hAnsi="Calibri" w:cs="Calibri"/>
                <w:sz w:val="22"/>
                <w:szCs w:val="22"/>
              </w:rPr>
            </w:pPr>
            <w:proofErr w:type="spellStart"/>
            <w:r>
              <w:rPr>
                <w:rFonts w:ascii="Calibri" w:hAnsi="Calibri" w:cs="Calibri"/>
                <w:sz w:val="22"/>
                <w:szCs w:val="22"/>
              </w:rPr>
              <w:lastRenderedPageBreak/>
              <w:t>Work</w:t>
            </w:r>
            <w:proofErr w:type="spellEnd"/>
            <w:r>
              <w:rPr>
                <w:rFonts w:ascii="Calibri" w:hAnsi="Calibri" w:cs="Calibri"/>
                <w:sz w:val="22"/>
                <w:szCs w:val="22"/>
              </w:rPr>
              <w:t xml:space="preserve"> </w:t>
            </w:r>
            <w:proofErr w:type="spellStart"/>
            <w:r>
              <w:rPr>
                <w:rFonts w:ascii="Calibri" w:hAnsi="Calibri" w:cs="Calibri"/>
                <w:sz w:val="22"/>
                <w:szCs w:val="22"/>
              </w:rPr>
              <w:t>placement</w:t>
            </w:r>
            <w:proofErr w:type="spellEnd"/>
            <w:r>
              <w:rPr>
                <w:rFonts w:ascii="Calibri" w:hAnsi="Calibri" w:cs="Calibri"/>
                <w:sz w:val="22"/>
                <w:szCs w:val="22"/>
              </w:rPr>
              <w:t>(s)</w:t>
            </w:r>
          </w:p>
        </w:tc>
        <w:tc>
          <w:tcPr>
            <w:tcW w:w="6224" w:type="dxa"/>
          </w:tcPr>
          <w:p w14:paraId="68F9DA86" w14:textId="77777777" w:rsidR="009C13A8" w:rsidRDefault="009C13A8" w:rsidP="009C13A8">
            <w:pPr>
              <w:pStyle w:val="Nagwek2"/>
              <w:spacing w:before="0" w:beforeAutospacing="0" w:after="0" w:afterAutospacing="0"/>
              <w:jc w:val="both"/>
              <w:rPr>
                <w:rFonts w:ascii="Calibri" w:hAnsi="Calibri" w:cs="Calibri"/>
                <w:b w:val="0"/>
                <w:bCs w:val="0"/>
                <w:sz w:val="22"/>
                <w:szCs w:val="22"/>
              </w:rPr>
            </w:pPr>
            <w:r>
              <w:rPr>
                <w:rFonts w:ascii="Calibri" w:hAnsi="Calibri" w:cs="Calibri"/>
                <w:b w:val="0"/>
                <w:bCs w:val="0"/>
                <w:sz w:val="22"/>
                <w:szCs w:val="22"/>
              </w:rPr>
              <w:t>n/a</w:t>
            </w:r>
          </w:p>
        </w:tc>
      </w:tr>
      <w:tr w:rsidR="009C13A8" w14:paraId="162806AC" w14:textId="77777777" w:rsidTr="71854CB5">
        <w:tc>
          <w:tcPr>
            <w:tcW w:w="2988" w:type="dxa"/>
            <w:gridSpan w:val="2"/>
          </w:tcPr>
          <w:p w14:paraId="38F9C10C" w14:textId="77777777" w:rsidR="009C13A8" w:rsidRDefault="009C13A8" w:rsidP="009C13A8">
            <w:pPr>
              <w:rPr>
                <w:rFonts w:ascii="Calibri" w:hAnsi="Calibri" w:cs="Calibri"/>
                <w:sz w:val="22"/>
                <w:szCs w:val="22"/>
              </w:rPr>
            </w:pPr>
            <w:r>
              <w:rPr>
                <w:rFonts w:ascii="Calibri" w:hAnsi="Calibri" w:cs="Calibri"/>
                <w:color w:val="000000"/>
                <w:sz w:val="22"/>
                <w:szCs w:val="22"/>
              </w:rPr>
              <w:t xml:space="preserve">Course </w:t>
            </w:r>
            <w:proofErr w:type="spellStart"/>
            <w:r>
              <w:rPr>
                <w:rFonts w:ascii="Calibri" w:hAnsi="Calibri" w:cs="Calibri"/>
                <w:color w:val="000000"/>
                <w:sz w:val="22"/>
                <w:szCs w:val="22"/>
              </w:rPr>
              <w:t>coordinator</w:t>
            </w:r>
            <w:proofErr w:type="spellEnd"/>
          </w:p>
        </w:tc>
        <w:tc>
          <w:tcPr>
            <w:tcW w:w="6224" w:type="dxa"/>
          </w:tcPr>
          <w:p w14:paraId="3656B9AB" w14:textId="77777777" w:rsidR="009C13A8" w:rsidRDefault="009C13A8" w:rsidP="009C13A8">
            <w:pPr>
              <w:pStyle w:val="Nagwek2"/>
              <w:spacing w:before="0" w:beforeAutospacing="0" w:after="0" w:afterAutospacing="0"/>
              <w:jc w:val="both"/>
              <w:rPr>
                <w:rFonts w:ascii="Calibri" w:hAnsi="Calibri" w:cs="Calibri"/>
                <w:b w:val="0"/>
                <w:bCs w:val="0"/>
                <w:sz w:val="22"/>
                <w:szCs w:val="22"/>
              </w:rPr>
            </w:pPr>
          </w:p>
        </w:tc>
      </w:tr>
      <w:tr w:rsidR="009C13A8" w14:paraId="43402867" w14:textId="77777777" w:rsidTr="71854CB5">
        <w:tc>
          <w:tcPr>
            <w:tcW w:w="2988" w:type="dxa"/>
            <w:gridSpan w:val="2"/>
          </w:tcPr>
          <w:p w14:paraId="418C78CC" w14:textId="77777777" w:rsidR="009C13A8" w:rsidRDefault="009C13A8" w:rsidP="009C13A8">
            <w:pPr>
              <w:rPr>
                <w:rFonts w:ascii="Calibri" w:hAnsi="Calibri" w:cs="Calibri"/>
                <w:sz w:val="22"/>
                <w:szCs w:val="22"/>
              </w:rPr>
            </w:pPr>
            <w:proofErr w:type="spellStart"/>
            <w:r>
              <w:rPr>
                <w:rFonts w:ascii="Calibri" w:hAnsi="Calibri" w:cs="Calibri"/>
                <w:color w:val="000000"/>
                <w:sz w:val="22"/>
                <w:szCs w:val="22"/>
              </w:rPr>
              <w:t>Academic</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teachers</w:t>
            </w:r>
            <w:proofErr w:type="spellEnd"/>
            <w:r>
              <w:rPr>
                <w:rFonts w:ascii="Calibri" w:hAnsi="Calibri" w:cs="Calibri"/>
                <w:color w:val="000000"/>
                <w:sz w:val="22"/>
                <w:szCs w:val="22"/>
              </w:rPr>
              <w:t xml:space="preserve"> </w:t>
            </w:r>
          </w:p>
        </w:tc>
        <w:tc>
          <w:tcPr>
            <w:tcW w:w="6224" w:type="dxa"/>
          </w:tcPr>
          <w:p w14:paraId="7D8A3716" w14:textId="77777777" w:rsidR="009C13A8" w:rsidRDefault="009C13A8" w:rsidP="009C13A8">
            <w:pPr>
              <w:pStyle w:val="Nagwek2"/>
              <w:spacing w:before="0" w:beforeAutospacing="0" w:after="0" w:afterAutospacing="0"/>
              <w:jc w:val="both"/>
              <w:rPr>
                <w:rFonts w:ascii="Calibri" w:hAnsi="Calibri" w:cs="Calibri"/>
                <w:b w:val="0"/>
                <w:bCs w:val="0"/>
                <w:sz w:val="22"/>
                <w:szCs w:val="22"/>
              </w:rPr>
            </w:pPr>
            <w:r>
              <w:rPr>
                <w:rFonts w:ascii="Calibri" w:hAnsi="Calibri" w:cs="Calibri"/>
                <w:b w:val="0"/>
                <w:bCs w:val="0"/>
                <w:sz w:val="22"/>
                <w:szCs w:val="22"/>
              </w:rPr>
              <w:t>Dr hab. Prof. UW Małgorzata Olszak</w:t>
            </w:r>
          </w:p>
        </w:tc>
      </w:tr>
      <w:tr w:rsidR="009C13A8" w14:paraId="4C94FBC7" w14:textId="77777777" w:rsidTr="71854CB5">
        <w:tc>
          <w:tcPr>
            <w:tcW w:w="2988" w:type="dxa"/>
            <w:gridSpan w:val="2"/>
          </w:tcPr>
          <w:p w14:paraId="66E6B5DB" w14:textId="77777777" w:rsidR="009C13A8" w:rsidRDefault="009C13A8" w:rsidP="009C13A8">
            <w:pPr>
              <w:rPr>
                <w:rFonts w:ascii="Calibri" w:hAnsi="Calibri" w:cs="Calibri"/>
                <w:sz w:val="22"/>
                <w:szCs w:val="22"/>
              </w:rPr>
            </w:pPr>
            <w:proofErr w:type="spellStart"/>
            <w:r>
              <w:rPr>
                <w:rFonts w:ascii="Calibri" w:hAnsi="Calibri" w:cs="Calibri"/>
                <w:sz w:val="22"/>
                <w:szCs w:val="22"/>
              </w:rPr>
              <w:t>Remarks</w:t>
            </w:r>
            <w:proofErr w:type="spellEnd"/>
          </w:p>
        </w:tc>
        <w:tc>
          <w:tcPr>
            <w:tcW w:w="6224" w:type="dxa"/>
          </w:tcPr>
          <w:p w14:paraId="45FB0818" w14:textId="77777777" w:rsidR="009C13A8" w:rsidRDefault="009C13A8" w:rsidP="009C13A8">
            <w:pPr>
              <w:pStyle w:val="Nagwek2"/>
              <w:spacing w:before="0" w:beforeAutospacing="0" w:after="0" w:afterAutospacing="0"/>
              <w:rPr>
                <w:rFonts w:ascii="Calibri" w:hAnsi="Calibri" w:cs="Calibri"/>
                <w:b w:val="0"/>
                <w:bCs w:val="0"/>
                <w:sz w:val="22"/>
                <w:szCs w:val="22"/>
              </w:rPr>
            </w:pPr>
          </w:p>
        </w:tc>
      </w:tr>
    </w:tbl>
    <w:p w14:paraId="049F31CB" w14:textId="77777777" w:rsidR="00DC74F6" w:rsidRDefault="00DC74F6">
      <w:pPr>
        <w:rPr>
          <w:rFonts w:ascii="Arial" w:hAnsi="Arial" w:cs="Arial"/>
          <w:sz w:val="20"/>
          <w:szCs w:val="20"/>
        </w:rPr>
      </w:pPr>
    </w:p>
    <w:sectPr w:rsidR="00DC74F6">
      <w:footerReference w:type="even" r:id="rId9"/>
      <w:footerReference w:type="default" r:id="rId10"/>
      <w:pgSz w:w="11906" w:h="16838"/>
      <w:pgMar w:top="454" w:right="1418"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8261" w14:textId="77777777" w:rsidR="001B0FE5" w:rsidRDefault="001B0FE5">
      <w:r>
        <w:separator/>
      </w:r>
    </w:p>
  </w:endnote>
  <w:endnote w:type="continuationSeparator" w:id="0">
    <w:p w14:paraId="62486C05" w14:textId="77777777" w:rsidR="001B0FE5" w:rsidRDefault="001B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424959" w:rsidRDefault="0042495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DDBEF00" w14:textId="77777777" w:rsidR="00424959" w:rsidRDefault="0042495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424959" w:rsidRDefault="00424959">
    <w:pPr>
      <w:pStyle w:val="Stopka"/>
      <w:framePr w:wrap="around" w:vAnchor="text" w:hAnchor="margin" w:xAlign="center" w:y="1"/>
      <w:rPr>
        <w:rStyle w:val="Numerstrony"/>
        <w:rFonts w:ascii="Arial" w:hAnsi="Arial" w:cs="Arial"/>
        <w:sz w:val="20"/>
        <w:szCs w:val="20"/>
      </w:rPr>
    </w:pPr>
    <w:r>
      <w:rPr>
        <w:rStyle w:val="Numerstrony"/>
        <w:rFonts w:ascii="Arial" w:hAnsi="Arial" w:cs="Arial"/>
        <w:sz w:val="20"/>
        <w:szCs w:val="20"/>
      </w:rPr>
      <w:fldChar w:fldCharType="begin"/>
    </w:r>
    <w:r>
      <w:rPr>
        <w:rStyle w:val="Numerstrony"/>
        <w:rFonts w:ascii="Arial" w:hAnsi="Arial" w:cs="Arial"/>
        <w:sz w:val="20"/>
        <w:szCs w:val="20"/>
      </w:rPr>
      <w:instrText xml:space="preserve">PAGE  </w:instrText>
    </w:r>
    <w:r>
      <w:rPr>
        <w:rStyle w:val="Numerstrony"/>
        <w:rFonts w:ascii="Arial" w:hAnsi="Arial" w:cs="Arial"/>
        <w:sz w:val="20"/>
        <w:szCs w:val="20"/>
      </w:rPr>
      <w:fldChar w:fldCharType="separate"/>
    </w:r>
    <w:r w:rsidR="0098464A">
      <w:rPr>
        <w:rStyle w:val="Numerstrony"/>
        <w:rFonts w:ascii="Arial" w:hAnsi="Arial" w:cs="Arial"/>
        <w:noProof/>
        <w:sz w:val="20"/>
        <w:szCs w:val="20"/>
      </w:rPr>
      <w:t>1</w:t>
    </w:r>
    <w:r>
      <w:rPr>
        <w:rStyle w:val="Numerstrony"/>
        <w:rFonts w:ascii="Arial" w:hAnsi="Arial" w:cs="Arial"/>
        <w:sz w:val="20"/>
        <w:szCs w:val="20"/>
      </w:rPr>
      <w:fldChar w:fldCharType="end"/>
    </w:r>
  </w:p>
  <w:p w14:paraId="1299C43A" w14:textId="77777777" w:rsidR="00424959" w:rsidRDefault="004249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652C" w14:textId="77777777" w:rsidR="001B0FE5" w:rsidRDefault="001B0FE5">
      <w:r>
        <w:separator/>
      </w:r>
    </w:p>
  </w:footnote>
  <w:footnote w:type="continuationSeparator" w:id="0">
    <w:p w14:paraId="4B99056E" w14:textId="77777777" w:rsidR="001B0FE5" w:rsidRDefault="001B0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AD30"/>
    <w:multiLevelType w:val="hybridMultilevel"/>
    <w:tmpl w:val="C3F2A26E"/>
    <w:lvl w:ilvl="0" w:tplc="FF3E9A80">
      <w:start w:val="1"/>
      <w:numFmt w:val="bullet"/>
      <w:lvlText w:val=""/>
      <w:lvlJc w:val="left"/>
      <w:pPr>
        <w:ind w:left="720" w:hanging="360"/>
      </w:pPr>
      <w:rPr>
        <w:rFonts w:ascii="Symbol" w:hAnsi="Symbol" w:hint="default"/>
      </w:rPr>
    </w:lvl>
    <w:lvl w:ilvl="1" w:tplc="97040DD4">
      <w:start w:val="1"/>
      <w:numFmt w:val="bullet"/>
      <w:lvlText w:val="o"/>
      <w:lvlJc w:val="left"/>
      <w:pPr>
        <w:ind w:left="1440" w:hanging="360"/>
      </w:pPr>
      <w:rPr>
        <w:rFonts w:ascii="Courier New" w:hAnsi="Courier New" w:hint="default"/>
      </w:rPr>
    </w:lvl>
    <w:lvl w:ilvl="2" w:tplc="DE2CC61C">
      <w:start w:val="1"/>
      <w:numFmt w:val="bullet"/>
      <w:lvlText w:val=""/>
      <w:lvlJc w:val="left"/>
      <w:pPr>
        <w:ind w:left="2160" w:hanging="360"/>
      </w:pPr>
      <w:rPr>
        <w:rFonts w:ascii="Wingdings" w:hAnsi="Wingdings" w:hint="default"/>
      </w:rPr>
    </w:lvl>
    <w:lvl w:ilvl="3" w:tplc="C82E1EEA">
      <w:start w:val="1"/>
      <w:numFmt w:val="bullet"/>
      <w:lvlText w:val=""/>
      <w:lvlJc w:val="left"/>
      <w:pPr>
        <w:ind w:left="2880" w:hanging="360"/>
      </w:pPr>
      <w:rPr>
        <w:rFonts w:ascii="Symbol" w:hAnsi="Symbol" w:hint="default"/>
      </w:rPr>
    </w:lvl>
    <w:lvl w:ilvl="4" w:tplc="7C100432">
      <w:start w:val="1"/>
      <w:numFmt w:val="bullet"/>
      <w:lvlText w:val="o"/>
      <w:lvlJc w:val="left"/>
      <w:pPr>
        <w:ind w:left="3600" w:hanging="360"/>
      </w:pPr>
      <w:rPr>
        <w:rFonts w:ascii="Courier New" w:hAnsi="Courier New" w:hint="default"/>
      </w:rPr>
    </w:lvl>
    <w:lvl w:ilvl="5" w:tplc="6BA4D038">
      <w:start w:val="1"/>
      <w:numFmt w:val="bullet"/>
      <w:lvlText w:val=""/>
      <w:lvlJc w:val="left"/>
      <w:pPr>
        <w:ind w:left="4320" w:hanging="360"/>
      </w:pPr>
      <w:rPr>
        <w:rFonts w:ascii="Wingdings" w:hAnsi="Wingdings" w:hint="default"/>
      </w:rPr>
    </w:lvl>
    <w:lvl w:ilvl="6" w:tplc="AFE8DEF0">
      <w:start w:val="1"/>
      <w:numFmt w:val="bullet"/>
      <w:lvlText w:val=""/>
      <w:lvlJc w:val="left"/>
      <w:pPr>
        <w:ind w:left="5040" w:hanging="360"/>
      </w:pPr>
      <w:rPr>
        <w:rFonts w:ascii="Symbol" w:hAnsi="Symbol" w:hint="default"/>
      </w:rPr>
    </w:lvl>
    <w:lvl w:ilvl="7" w:tplc="1E1A3C38">
      <w:start w:val="1"/>
      <w:numFmt w:val="bullet"/>
      <w:lvlText w:val="o"/>
      <w:lvlJc w:val="left"/>
      <w:pPr>
        <w:ind w:left="5760" w:hanging="360"/>
      </w:pPr>
      <w:rPr>
        <w:rFonts w:ascii="Courier New" w:hAnsi="Courier New" w:hint="default"/>
      </w:rPr>
    </w:lvl>
    <w:lvl w:ilvl="8" w:tplc="7C7E684E">
      <w:start w:val="1"/>
      <w:numFmt w:val="bullet"/>
      <w:lvlText w:val=""/>
      <w:lvlJc w:val="left"/>
      <w:pPr>
        <w:ind w:left="6480" w:hanging="360"/>
      </w:pPr>
      <w:rPr>
        <w:rFonts w:ascii="Wingdings" w:hAnsi="Wingdings" w:hint="default"/>
      </w:rPr>
    </w:lvl>
  </w:abstractNum>
  <w:abstractNum w:abstractNumId="1" w15:restartNumberingAfterBreak="0">
    <w:nsid w:val="0A88336E"/>
    <w:multiLevelType w:val="hybridMultilevel"/>
    <w:tmpl w:val="7AD26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C2E3C"/>
    <w:multiLevelType w:val="hybridMultilevel"/>
    <w:tmpl w:val="4016D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E7769A"/>
    <w:multiLevelType w:val="hybridMultilevel"/>
    <w:tmpl w:val="BF442078"/>
    <w:lvl w:ilvl="0" w:tplc="1A52FC7A">
      <w:start w:val="1"/>
      <w:numFmt w:val="bullet"/>
      <w:lvlText w:val=""/>
      <w:lvlJc w:val="left"/>
      <w:pPr>
        <w:ind w:left="720" w:hanging="360"/>
      </w:pPr>
      <w:rPr>
        <w:rFonts w:ascii="Symbol" w:hAnsi="Symbol" w:hint="default"/>
      </w:rPr>
    </w:lvl>
    <w:lvl w:ilvl="1" w:tplc="6C045D8A">
      <w:start w:val="1"/>
      <w:numFmt w:val="bullet"/>
      <w:lvlText w:val="o"/>
      <w:lvlJc w:val="left"/>
      <w:pPr>
        <w:ind w:left="1440" w:hanging="360"/>
      </w:pPr>
      <w:rPr>
        <w:rFonts w:ascii="Courier New" w:hAnsi="Courier New" w:hint="default"/>
      </w:rPr>
    </w:lvl>
    <w:lvl w:ilvl="2" w:tplc="045691D6">
      <w:start w:val="1"/>
      <w:numFmt w:val="bullet"/>
      <w:lvlText w:val=""/>
      <w:lvlJc w:val="left"/>
      <w:pPr>
        <w:ind w:left="2160" w:hanging="360"/>
      </w:pPr>
      <w:rPr>
        <w:rFonts w:ascii="Wingdings" w:hAnsi="Wingdings" w:hint="default"/>
      </w:rPr>
    </w:lvl>
    <w:lvl w:ilvl="3" w:tplc="42B482CA">
      <w:start w:val="1"/>
      <w:numFmt w:val="bullet"/>
      <w:lvlText w:val=""/>
      <w:lvlJc w:val="left"/>
      <w:pPr>
        <w:ind w:left="2880" w:hanging="360"/>
      </w:pPr>
      <w:rPr>
        <w:rFonts w:ascii="Symbol" w:hAnsi="Symbol" w:hint="default"/>
      </w:rPr>
    </w:lvl>
    <w:lvl w:ilvl="4" w:tplc="F2D2F6DC">
      <w:start w:val="1"/>
      <w:numFmt w:val="bullet"/>
      <w:lvlText w:val="o"/>
      <w:lvlJc w:val="left"/>
      <w:pPr>
        <w:ind w:left="3600" w:hanging="360"/>
      </w:pPr>
      <w:rPr>
        <w:rFonts w:ascii="Courier New" w:hAnsi="Courier New" w:hint="default"/>
      </w:rPr>
    </w:lvl>
    <w:lvl w:ilvl="5" w:tplc="21807F82">
      <w:start w:val="1"/>
      <w:numFmt w:val="bullet"/>
      <w:lvlText w:val=""/>
      <w:lvlJc w:val="left"/>
      <w:pPr>
        <w:ind w:left="4320" w:hanging="360"/>
      </w:pPr>
      <w:rPr>
        <w:rFonts w:ascii="Wingdings" w:hAnsi="Wingdings" w:hint="default"/>
      </w:rPr>
    </w:lvl>
    <w:lvl w:ilvl="6" w:tplc="454001D6">
      <w:start w:val="1"/>
      <w:numFmt w:val="bullet"/>
      <w:lvlText w:val=""/>
      <w:lvlJc w:val="left"/>
      <w:pPr>
        <w:ind w:left="5040" w:hanging="360"/>
      </w:pPr>
      <w:rPr>
        <w:rFonts w:ascii="Symbol" w:hAnsi="Symbol" w:hint="default"/>
      </w:rPr>
    </w:lvl>
    <w:lvl w:ilvl="7" w:tplc="C3C63B2A">
      <w:start w:val="1"/>
      <w:numFmt w:val="bullet"/>
      <w:lvlText w:val="o"/>
      <w:lvlJc w:val="left"/>
      <w:pPr>
        <w:ind w:left="5760" w:hanging="360"/>
      </w:pPr>
      <w:rPr>
        <w:rFonts w:ascii="Courier New" w:hAnsi="Courier New" w:hint="default"/>
      </w:rPr>
    </w:lvl>
    <w:lvl w:ilvl="8" w:tplc="0AD4A940">
      <w:start w:val="1"/>
      <w:numFmt w:val="bullet"/>
      <w:lvlText w:val=""/>
      <w:lvlJc w:val="left"/>
      <w:pPr>
        <w:ind w:left="6480" w:hanging="360"/>
      </w:pPr>
      <w:rPr>
        <w:rFonts w:ascii="Wingdings" w:hAnsi="Wingdings" w:hint="default"/>
      </w:rPr>
    </w:lvl>
  </w:abstractNum>
  <w:abstractNum w:abstractNumId="4" w15:restartNumberingAfterBreak="0">
    <w:nsid w:val="32F5E7ED"/>
    <w:multiLevelType w:val="hybridMultilevel"/>
    <w:tmpl w:val="8BEEBF9A"/>
    <w:lvl w:ilvl="0" w:tplc="1B863408">
      <w:start w:val="1"/>
      <w:numFmt w:val="bullet"/>
      <w:lvlText w:val=""/>
      <w:lvlJc w:val="left"/>
      <w:pPr>
        <w:ind w:left="720" w:hanging="360"/>
      </w:pPr>
      <w:rPr>
        <w:rFonts w:ascii="Symbol" w:hAnsi="Symbol" w:hint="default"/>
      </w:rPr>
    </w:lvl>
    <w:lvl w:ilvl="1" w:tplc="84702466">
      <w:start w:val="1"/>
      <w:numFmt w:val="bullet"/>
      <w:lvlText w:val="o"/>
      <w:lvlJc w:val="left"/>
      <w:pPr>
        <w:ind w:left="1440" w:hanging="360"/>
      </w:pPr>
      <w:rPr>
        <w:rFonts w:ascii="Courier New" w:hAnsi="Courier New" w:hint="default"/>
      </w:rPr>
    </w:lvl>
    <w:lvl w:ilvl="2" w:tplc="AAF0595A">
      <w:start w:val="1"/>
      <w:numFmt w:val="bullet"/>
      <w:lvlText w:val=""/>
      <w:lvlJc w:val="left"/>
      <w:pPr>
        <w:ind w:left="2160" w:hanging="360"/>
      </w:pPr>
      <w:rPr>
        <w:rFonts w:ascii="Wingdings" w:hAnsi="Wingdings" w:hint="default"/>
      </w:rPr>
    </w:lvl>
    <w:lvl w:ilvl="3" w:tplc="44F28DE4">
      <w:start w:val="1"/>
      <w:numFmt w:val="bullet"/>
      <w:lvlText w:val=""/>
      <w:lvlJc w:val="left"/>
      <w:pPr>
        <w:ind w:left="2880" w:hanging="360"/>
      </w:pPr>
      <w:rPr>
        <w:rFonts w:ascii="Symbol" w:hAnsi="Symbol" w:hint="default"/>
      </w:rPr>
    </w:lvl>
    <w:lvl w:ilvl="4" w:tplc="00C86908">
      <w:start w:val="1"/>
      <w:numFmt w:val="bullet"/>
      <w:lvlText w:val="o"/>
      <w:lvlJc w:val="left"/>
      <w:pPr>
        <w:ind w:left="3600" w:hanging="360"/>
      </w:pPr>
      <w:rPr>
        <w:rFonts w:ascii="Courier New" w:hAnsi="Courier New" w:hint="default"/>
      </w:rPr>
    </w:lvl>
    <w:lvl w:ilvl="5" w:tplc="BA02654C">
      <w:start w:val="1"/>
      <w:numFmt w:val="bullet"/>
      <w:lvlText w:val=""/>
      <w:lvlJc w:val="left"/>
      <w:pPr>
        <w:ind w:left="4320" w:hanging="360"/>
      </w:pPr>
      <w:rPr>
        <w:rFonts w:ascii="Wingdings" w:hAnsi="Wingdings" w:hint="default"/>
      </w:rPr>
    </w:lvl>
    <w:lvl w:ilvl="6" w:tplc="885475D2">
      <w:start w:val="1"/>
      <w:numFmt w:val="bullet"/>
      <w:lvlText w:val=""/>
      <w:lvlJc w:val="left"/>
      <w:pPr>
        <w:ind w:left="5040" w:hanging="360"/>
      </w:pPr>
      <w:rPr>
        <w:rFonts w:ascii="Symbol" w:hAnsi="Symbol" w:hint="default"/>
      </w:rPr>
    </w:lvl>
    <w:lvl w:ilvl="7" w:tplc="66B25750">
      <w:start w:val="1"/>
      <w:numFmt w:val="bullet"/>
      <w:lvlText w:val="o"/>
      <w:lvlJc w:val="left"/>
      <w:pPr>
        <w:ind w:left="5760" w:hanging="360"/>
      </w:pPr>
      <w:rPr>
        <w:rFonts w:ascii="Courier New" w:hAnsi="Courier New" w:hint="default"/>
      </w:rPr>
    </w:lvl>
    <w:lvl w:ilvl="8" w:tplc="2CEA8B5C">
      <w:start w:val="1"/>
      <w:numFmt w:val="bullet"/>
      <w:lvlText w:val=""/>
      <w:lvlJc w:val="left"/>
      <w:pPr>
        <w:ind w:left="6480" w:hanging="360"/>
      </w:pPr>
      <w:rPr>
        <w:rFonts w:ascii="Wingdings" w:hAnsi="Wingdings" w:hint="default"/>
      </w:rPr>
    </w:lvl>
  </w:abstractNum>
  <w:abstractNum w:abstractNumId="5" w15:restartNumberingAfterBreak="0">
    <w:nsid w:val="3E6B31DF"/>
    <w:multiLevelType w:val="hybridMultilevel"/>
    <w:tmpl w:val="399EB4EE"/>
    <w:lvl w:ilvl="0" w:tplc="9BB60EC2">
      <w:start w:val="1"/>
      <w:numFmt w:val="bullet"/>
      <w:lvlText w:val=""/>
      <w:lvlJc w:val="left"/>
      <w:pPr>
        <w:ind w:left="720" w:hanging="360"/>
      </w:pPr>
      <w:rPr>
        <w:rFonts w:ascii="Symbol" w:hAnsi="Symbol" w:hint="default"/>
      </w:rPr>
    </w:lvl>
    <w:lvl w:ilvl="1" w:tplc="A0FEA100">
      <w:start w:val="1"/>
      <w:numFmt w:val="bullet"/>
      <w:lvlText w:val="o"/>
      <w:lvlJc w:val="left"/>
      <w:pPr>
        <w:ind w:left="1440" w:hanging="360"/>
      </w:pPr>
      <w:rPr>
        <w:rFonts w:ascii="Courier New" w:hAnsi="Courier New" w:hint="default"/>
      </w:rPr>
    </w:lvl>
    <w:lvl w:ilvl="2" w:tplc="2E722F1C">
      <w:start w:val="1"/>
      <w:numFmt w:val="bullet"/>
      <w:lvlText w:val=""/>
      <w:lvlJc w:val="left"/>
      <w:pPr>
        <w:ind w:left="2160" w:hanging="360"/>
      </w:pPr>
      <w:rPr>
        <w:rFonts w:ascii="Wingdings" w:hAnsi="Wingdings" w:hint="default"/>
      </w:rPr>
    </w:lvl>
    <w:lvl w:ilvl="3" w:tplc="940E87EC">
      <w:start w:val="1"/>
      <w:numFmt w:val="bullet"/>
      <w:lvlText w:val=""/>
      <w:lvlJc w:val="left"/>
      <w:pPr>
        <w:ind w:left="2880" w:hanging="360"/>
      </w:pPr>
      <w:rPr>
        <w:rFonts w:ascii="Symbol" w:hAnsi="Symbol" w:hint="default"/>
      </w:rPr>
    </w:lvl>
    <w:lvl w:ilvl="4" w:tplc="CF240DCA">
      <w:start w:val="1"/>
      <w:numFmt w:val="bullet"/>
      <w:lvlText w:val="o"/>
      <w:lvlJc w:val="left"/>
      <w:pPr>
        <w:ind w:left="3600" w:hanging="360"/>
      </w:pPr>
      <w:rPr>
        <w:rFonts w:ascii="Courier New" w:hAnsi="Courier New" w:hint="default"/>
      </w:rPr>
    </w:lvl>
    <w:lvl w:ilvl="5" w:tplc="62BC1A96">
      <w:start w:val="1"/>
      <w:numFmt w:val="bullet"/>
      <w:lvlText w:val=""/>
      <w:lvlJc w:val="left"/>
      <w:pPr>
        <w:ind w:left="4320" w:hanging="360"/>
      </w:pPr>
      <w:rPr>
        <w:rFonts w:ascii="Wingdings" w:hAnsi="Wingdings" w:hint="default"/>
      </w:rPr>
    </w:lvl>
    <w:lvl w:ilvl="6" w:tplc="727C90CC">
      <w:start w:val="1"/>
      <w:numFmt w:val="bullet"/>
      <w:lvlText w:val=""/>
      <w:lvlJc w:val="left"/>
      <w:pPr>
        <w:ind w:left="5040" w:hanging="360"/>
      </w:pPr>
      <w:rPr>
        <w:rFonts w:ascii="Symbol" w:hAnsi="Symbol" w:hint="default"/>
      </w:rPr>
    </w:lvl>
    <w:lvl w:ilvl="7" w:tplc="79DEC732">
      <w:start w:val="1"/>
      <w:numFmt w:val="bullet"/>
      <w:lvlText w:val="o"/>
      <w:lvlJc w:val="left"/>
      <w:pPr>
        <w:ind w:left="5760" w:hanging="360"/>
      </w:pPr>
      <w:rPr>
        <w:rFonts w:ascii="Courier New" w:hAnsi="Courier New" w:hint="default"/>
      </w:rPr>
    </w:lvl>
    <w:lvl w:ilvl="8" w:tplc="5BA652FA">
      <w:start w:val="1"/>
      <w:numFmt w:val="bullet"/>
      <w:lvlText w:val=""/>
      <w:lvlJc w:val="left"/>
      <w:pPr>
        <w:ind w:left="6480" w:hanging="360"/>
      </w:pPr>
      <w:rPr>
        <w:rFonts w:ascii="Wingdings" w:hAnsi="Wingdings" w:hint="default"/>
      </w:rPr>
    </w:lvl>
  </w:abstractNum>
  <w:abstractNum w:abstractNumId="6" w15:restartNumberingAfterBreak="0">
    <w:nsid w:val="4C6E3AFE"/>
    <w:multiLevelType w:val="hybridMultilevel"/>
    <w:tmpl w:val="D4289CE0"/>
    <w:lvl w:ilvl="0" w:tplc="E47CFB2E">
      <w:start w:val="1"/>
      <w:numFmt w:val="bullet"/>
      <w:lvlText w:val=""/>
      <w:lvlJc w:val="left"/>
      <w:pPr>
        <w:ind w:left="720" w:hanging="360"/>
      </w:pPr>
      <w:rPr>
        <w:rFonts w:ascii="Symbol" w:hAnsi="Symbol" w:hint="default"/>
      </w:rPr>
    </w:lvl>
    <w:lvl w:ilvl="1" w:tplc="BE704912">
      <w:start w:val="1"/>
      <w:numFmt w:val="bullet"/>
      <w:lvlText w:val="o"/>
      <w:lvlJc w:val="left"/>
      <w:pPr>
        <w:ind w:left="1440" w:hanging="360"/>
      </w:pPr>
      <w:rPr>
        <w:rFonts w:ascii="Courier New" w:hAnsi="Courier New" w:hint="default"/>
      </w:rPr>
    </w:lvl>
    <w:lvl w:ilvl="2" w:tplc="8DC8C31A">
      <w:start w:val="1"/>
      <w:numFmt w:val="bullet"/>
      <w:lvlText w:val=""/>
      <w:lvlJc w:val="left"/>
      <w:pPr>
        <w:ind w:left="2160" w:hanging="360"/>
      </w:pPr>
      <w:rPr>
        <w:rFonts w:ascii="Wingdings" w:hAnsi="Wingdings" w:hint="default"/>
      </w:rPr>
    </w:lvl>
    <w:lvl w:ilvl="3" w:tplc="3A86A250">
      <w:start w:val="1"/>
      <w:numFmt w:val="bullet"/>
      <w:lvlText w:val=""/>
      <w:lvlJc w:val="left"/>
      <w:pPr>
        <w:ind w:left="2880" w:hanging="360"/>
      </w:pPr>
      <w:rPr>
        <w:rFonts w:ascii="Symbol" w:hAnsi="Symbol" w:hint="default"/>
      </w:rPr>
    </w:lvl>
    <w:lvl w:ilvl="4" w:tplc="731A2C4C">
      <w:start w:val="1"/>
      <w:numFmt w:val="bullet"/>
      <w:lvlText w:val="o"/>
      <w:lvlJc w:val="left"/>
      <w:pPr>
        <w:ind w:left="3600" w:hanging="360"/>
      </w:pPr>
      <w:rPr>
        <w:rFonts w:ascii="Courier New" w:hAnsi="Courier New" w:hint="default"/>
      </w:rPr>
    </w:lvl>
    <w:lvl w:ilvl="5" w:tplc="D2745D08">
      <w:start w:val="1"/>
      <w:numFmt w:val="bullet"/>
      <w:lvlText w:val=""/>
      <w:lvlJc w:val="left"/>
      <w:pPr>
        <w:ind w:left="4320" w:hanging="360"/>
      </w:pPr>
      <w:rPr>
        <w:rFonts w:ascii="Wingdings" w:hAnsi="Wingdings" w:hint="default"/>
      </w:rPr>
    </w:lvl>
    <w:lvl w:ilvl="6" w:tplc="60F62098">
      <w:start w:val="1"/>
      <w:numFmt w:val="bullet"/>
      <w:lvlText w:val=""/>
      <w:lvlJc w:val="left"/>
      <w:pPr>
        <w:ind w:left="5040" w:hanging="360"/>
      </w:pPr>
      <w:rPr>
        <w:rFonts w:ascii="Symbol" w:hAnsi="Symbol" w:hint="default"/>
      </w:rPr>
    </w:lvl>
    <w:lvl w:ilvl="7" w:tplc="C2F85A12">
      <w:start w:val="1"/>
      <w:numFmt w:val="bullet"/>
      <w:lvlText w:val="o"/>
      <w:lvlJc w:val="left"/>
      <w:pPr>
        <w:ind w:left="5760" w:hanging="360"/>
      </w:pPr>
      <w:rPr>
        <w:rFonts w:ascii="Courier New" w:hAnsi="Courier New" w:hint="default"/>
      </w:rPr>
    </w:lvl>
    <w:lvl w:ilvl="8" w:tplc="EA6605AA">
      <w:start w:val="1"/>
      <w:numFmt w:val="bullet"/>
      <w:lvlText w:val=""/>
      <w:lvlJc w:val="left"/>
      <w:pPr>
        <w:ind w:left="6480" w:hanging="360"/>
      </w:pPr>
      <w:rPr>
        <w:rFonts w:ascii="Wingdings" w:hAnsi="Wingdings" w:hint="default"/>
      </w:rPr>
    </w:lvl>
  </w:abstractNum>
  <w:abstractNum w:abstractNumId="7" w15:restartNumberingAfterBreak="0">
    <w:nsid w:val="5EA80497"/>
    <w:multiLevelType w:val="hybridMultilevel"/>
    <w:tmpl w:val="F684E22E"/>
    <w:lvl w:ilvl="0" w:tplc="7CC28326">
      <w:start w:val="1"/>
      <w:numFmt w:val="decimal"/>
      <w:lvlText w:val="%1."/>
      <w:lvlJc w:val="left"/>
      <w:pPr>
        <w:ind w:left="720" w:hanging="360"/>
      </w:pPr>
    </w:lvl>
    <w:lvl w:ilvl="1" w:tplc="C200F8A0">
      <w:start w:val="1"/>
      <w:numFmt w:val="lowerLetter"/>
      <w:lvlText w:val="%2."/>
      <w:lvlJc w:val="left"/>
      <w:pPr>
        <w:ind w:left="1440" w:hanging="360"/>
      </w:pPr>
    </w:lvl>
    <w:lvl w:ilvl="2" w:tplc="A8C64BF4">
      <w:start w:val="1"/>
      <w:numFmt w:val="lowerRoman"/>
      <w:lvlText w:val="%3."/>
      <w:lvlJc w:val="right"/>
      <w:pPr>
        <w:ind w:left="2160" w:hanging="180"/>
      </w:pPr>
    </w:lvl>
    <w:lvl w:ilvl="3" w:tplc="271CA572">
      <w:start w:val="1"/>
      <w:numFmt w:val="decimal"/>
      <w:lvlText w:val="%4."/>
      <w:lvlJc w:val="left"/>
      <w:pPr>
        <w:ind w:left="2880" w:hanging="360"/>
      </w:pPr>
    </w:lvl>
    <w:lvl w:ilvl="4" w:tplc="91223862">
      <w:start w:val="1"/>
      <w:numFmt w:val="lowerLetter"/>
      <w:lvlText w:val="%5."/>
      <w:lvlJc w:val="left"/>
      <w:pPr>
        <w:ind w:left="3600" w:hanging="360"/>
      </w:pPr>
    </w:lvl>
    <w:lvl w:ilvl="5" w:tplc="5978A946">
      <w:start w:val="1"/>
      <w:numFmt w:val="lowerRoman"/>
      <w:lvlText w:val="%6."/>
      <w:lvlJc w:val="right"/>
      <w:pPr>
        <w:ind w:left="4320" w:hanging="180"/>
      </w:pPr>
    </w:lvl>
    <w:lvl w:ilvl="6" w:tplc="53CC50F8">
      <w:start w:val="1"/>
      <w:numFmt w:val="decimal"/>
      <w:lvlText w:val="%7."/>
      <w:lvlJc w:val="left"/>
      <w:pPr>
        <w:ind w:left="5040" w:hanging="360"/>
      </w:pPr>
    </w:lvl>
    <w:lvl w:ilvl="7" w:tplc="B454B316">
      <w:start w:val="1"/>
      <w:numFmt w:val="lowerLetter"/>
      <w:lvlText w:val="%8."/>
      <w:lvlJc w:val="left"/>
      <w:pPr>
        <w:ind w:left="5760" w:hanging="360"/>
      </w:pPr>
    </w:lvl>
    <w:lvl w:ilvl="8" w:tplc="CDF4C18A">
      <w:start w:val="1"/>
      <w:numFmt w:val="lowerRoman"/>
      <w:lvlText w:val="%9."/>
      <w:lvlJc w:val="right"/>
      <w:pPr>
        <w:ind w:left="6480" w:hanging="180"/>
      </w:pPr>
    </w:lvl>
  </w:abstractNum>
  <w:abstractNum w:abstractNumId="8" w15:restartNumberingAfterBreak="0">
    <w:nsid w:val="5F7912F6"/>
    <w:multiLevelType w:val="hybridMultilevel"/>
    <w:tmpl w:val="ACA6CD96"/>
    <w:lvl w:ilvl="0" w:tplc="8F74CE1E">
      <w:start w:val="1"/>
      <w:numFmt w:val="bullet"/>
      <w:lvlText w:val=""/>
      <w:lvlJc w:val="left"/>
      <w:pPr>
        <w:ind w:left="720" w:hanging="360"/>
      </w:pPr>
      <w:rPr>
        <w:rFonts w:ascii="Symbol" w:hAnsi="Symbol" w:hint="default"/>
      </w:rPr>
    </w:lvl>
    <w:lvl w:ilvl="1" w:tplc="E78CA30E">
      <w:start w:val="1"/>
      <w:numFmt w:val="bullet"/>
      <w:lvlText w:val="o"/>
      <w:lvlJc w:val="left"/>
      <w:pPr>
        <w:ind w:left="1440" w:hanging="360"/>
      </w:pPr>
      <w:rPr>
        <w:rFonts w:ascii="Courier New" w:hAnsi="Courier New" w:hint="default"/>
      </w:rPr>
    </w:lvl>
    <w:lvl w:ilvl="2" w:tplc="C4322630">
      <w:start w:val="1"/>
      <w:numFmt w:val="bullet"/>
      <w:lvlText w:val=""/>
      <w:lvlJc w:val="left"/>
      <w:pPr>
        <w:ind w:left="2160" w:hanging="360"/>
      </w:pPr>
      <w:rPr>
        <w:rFonts w:ascii="Wingdings" w:hAnsi="Wingdings" w:hint="default"/>
      </w:rPr>
    </w:lvl>
    <w:lvl w:ilvl="3" w:tplc="81DEBA16">
      <w:start w:val="1"/>
      <w:numFmt w:val="bullet"/>
      <w:lvlText w:val=""/>
      <w:lvlJc w:val="left"/>
      <w:pPr>
        <w:ind w:left="2880" w:hanging="360"/>
      </w:pPr>
      <w:rPr>
        <w:rFonts w:ascii="Symbol" w:hAnsi="Symbol" w:hint="default"/>
      </w:rPr>
    </w:lvl>
    <w:lvl w:ilvl="4" w:tplc="6E589DA0">
      <w:start w:val="1"/>
      <w:numFmt w:val="bullet"/>
      <w:lvlText w:val="o"/>
      <w:lvlJc w:val="left"/>
      <w:pPr>
        <w:ind w:left="3600" w:hanging="360"/>
      </w:pPr>
      <w:rPr>
        <w:rFonts w:ascii="Courier New" w:hAnsi="Courier New" w:hint="default"/>
      </w:rPr>
    </w:lvl>
    <w:lvl w:ilvl="5" w:tplc="815AF2A6">
      <w:start w:val="1"/>
      <w:numFmt w:val="bullet"/>
      <w:lvlText w:val=""/>
      <w:lvlJc w:val="left"/>
      <w:pPr>
        <w:ind w:left="4320" w:hanging="360"/>
      </w:pPr>
      <w:rPr>
        <w:rFonts w:ascii="Wingdings" w:hAnsi="Wingdings" w:hint="default"/>
      </w:rPr>
    </w:lvl>
    <w:lvl w:ilvl="6" w:tplc="6052C47E">
      <w:start w:val="1"/>
      <w:numFmt w:val="bullet"/>
      <w:lvlText w:val=""/>
      <w:lvlJc w:val="left"/>
      <w:pPr>
        <w:ind w:left="5040" w:hanging="360"/>
      </w:pPr>
      <w:rPr>
        <w:rFonts w:ascii="Symbol" w:hAnsi="Symbol" w:hint="default"/>
      </w:rPr>
    </w:lvl>
    <w:lvl w:ilvl="7" w:tplc="B00669BC">
      <w:start w:val="1"/>
      <w:numFmt w:val="bullet"/>
      <w:lvlText w:val="o"/>
      <w:lvlJc w:val="left"/>
      <w:pPr>
        <w:ind w:left="5760" w:hanging="360"/>
      </w:pPr>
      <w:rPr>
        <w:rFonts w:ascii="Courier New" w:hAnsi="Courier New" w:hint="default"/>
      </w:rPr>
    </w:lvl>
    <w:lvl w:ilvl="8" w:tplc="DBE6B7DA">
      <w:start w:val="1"/>
      <w:numFmt w:val="bullet"/>
      <w:lvlText w:val=""/>
      <w:lvlJc w:val="left"/>
      <w:pPr>
        <w:ind w:left="6480" w:hanging="360"/>
      </w:pPr>
      <w:rPr>
        <w:rFonts w:ascii="Wingdings" w:hAnsi="Wingdings" w:hint="default"/>
      </w:rPr>
    </w:lvl>
  </w:abstractNum>
  <w:abstractNum w:abstractNumId="9" w15:restartNumberingAfterBreak="0">
    <w:nsid w:val="67086E48"/>
    <w:multiLevelType w:val="hybridMultilevel"/>
    <w:tmpl w:val="F19EC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8"/>
  </w:num>
  <w:num w:numId="6">
    <w:abstractNumId w:val="0"/>
  </w:num>
  <w:num w:numId="7">
    <w:abstractNumId w:val="7"/>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0C"/>
    <w:rsid w:val="00033FFE"/>
    <w:rsid w:val="000F028B"/>
    <w:rsid w:val="00144EE9"/>
    <w:rsid w:val="00193F49"/>
    <w:rsid w:val="001B0FE5"/>
    <w:rsid w:val="0026131A"/>
    <w:rsid w:val="002D44FE"/>
    <w:rsid w:val="00335C0C"/>
    <w:rsid w:val="00350CB8"/>
    <w:rsid w:val="0038231A"/>
    <w:rsid w:val="003A10FA"/>
    <w:rsid w:val="003B73EF"/>
    <w:rsid w:val="00424959"/>
    <w:rsid w:val="004367A1"/>
    <w:rsid w:val="00471322"/>
    <w:rsid w:val="00487BB8"/>
    <w:rsid w:val="004C1A9A"/>
    <w:rsid w:val="004D131D"/>
    <w:rsid w:val="004E4957"/>
    <w:rsid w:val="00560F02"/>
    <w:rsid w:val="00572EBB"/>
    <w:rsid w:val="00581990"/>
    <w:rsid w:val="005924C9"/>
    <w:rsid w:val="006C08FF"/>
    <w:rsid w:val="006C1DF8"/>
    <w:rsid w:val="0072343D"/>
    <w:rsid w:val="007609FA"/>
    <w:rsid w:val="00954CDD"/>
    <w:rsid w:val="0098464A"/>
    <w:rsid w:val="009B31DA"/>
    <w:rsid w:val="009C13A8"/>
    <w:rsid w:val="009F1BF3"/>
    <w:rsid w:val="009F7A74"/>
    <w:rsid w:val="00A60851"/>
    <w:rsid w:val="00B64AFF"/>
    <w:rsid w:val="00B661BB"/>
    <w:rsid w:val="00B91D1B"/>
    <w:rsid w:val="00C53C06"/>
    <w:rsid w:val="00C53EF6"/>
    <w:rsid w:val="00C65842"/>
    <w:rsid w:val="00CA7BBB"/>
    <w:rsid w:val="00D1150F"/>
    <w:rsid w:val="00D43B4B"/>
    <w:rsid w:val="00DC74F6"/>
    <w:rsid w:val="00DE1E00"/>
    <w:rsid w:val="00DE39CB"/>
    <w:rsid w:val="00F3221A"/>
    <w:rsid w:val="00F37F90"/>
    <w:rsid w:val="00FE08D8"/>
    <w:rsid w:val="018F1284"/>
    <w:rsid w:val="065AEA06"/>
    <w:rsid w:val="0A3BC9C5"/>
    <w:rsid w:val="0CA424BD"/>
    <w:rsid w:val="0E53FF7B"/>
    <w:rsid w:val="0F98FB2D"/>
    <w:rsid w:val="158EE51D"/>
    <w:rsid w:val="1B7E5479"/>
    <w:rsid w:val="2374F544"/>
    <w:rsid w:val="24637595"/>
    <w:rsid w:val="2784EE07"/>
    <w:rsid w:val="2A280BCA"/>
    <w:rsid w:val="30E1B20B"/>
    <w:rsid w:val="34CE65FC"/>
    <w:rsid w:val="34F477F2"/>
    <w:rsid w:val="36F441D0"/>
    <w:rsid w:val="411F6145"/>
    <w:rsid w:val="429C3DD0"/>
    <w:rsid w:val="4427EFD7"/>
    <w:rsid w:val="472BC862"/>
    <w:rsid w:val="49C1C106"/>
    <w:rsid w:val="4A4CDB7A"/>
    <w:rsid w:val="54375DC3"/>
    <w:rsid w:val="55222AA4"/>
    <w:rsid w:val="5966D534"/>
    <w:rsid w:val="5AECA6A4"/>
    <w:rsid w:val="5B6A23D9"/>
    <w:rsid w:val="5FC5C143"/>
    <w:rsid w:val="636DF584"/>
    <w:rsid w:val="675B3D4B"/>
    <w:rsid w:val="6829E6B6"/>
    <w:rsid w:val="6C2DC862"/>
    <w:rsid w:val="6DD41190"/>
    <w:rsid w:val="71854CB5"/>
    <w:rsid w:val="73C15DA9"/>
    <w:rsid w:val="75261B21"/>
    <w:rsid w:val="7BB6AD27"/>
    <w:rsid w:val="7CCE120A"/>
    <w:rsid w:val="7D9716A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F472A"/>
  <w15:chartTrackingRefBased/>
  <w15:docId w15:val="{EF34E46A-6D67-463C-8028-4E63BEBD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D131D"/>
    <w:rPr>
      <w:sz w:val="24"/>
      <w:szCs w:val="24"/>
      <w:lang w:eastAsia="pl-PL"/>
    </w:rPr>
  </w:style>
  <w:style w:type="paragraph" w:styleId="Nagwek2">
    <w:name w:val="heading 2"/>
    <w:basedOn w:val="Normalny"/>
    <w:qFormat/>
    <w:pPr>
      <w:spacing w:before="100" w:beforeAutospacing="1" w:after="100" w:afterAutospacing="1"/>
      <w:outlineLvl w:val="1"/>
    </w:pPr>
    <w:rPr>
      <w:rFonts w:ascii="Arial Unicode MS" w:eastAsia="Arial Unicode MS" w:hAnsi="Arial Unicode MS" w:cs="Arial Unicode MS"/>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pPr>
  </w:style>
  <w:style w:type="character" w:styleId="Hipercze">
    <w:name w:val="Hyperlink"/>
    <w:rPr>
      <w:color w:val="0000FF"/>
      <w:u w:val="single"/>
    </w:rPr>
  </w:style>
  <w:style w:type="paragraph" w:styleId="Mapadokumentu">
    <w:name w:val="Document Map"/>
    <w:basedOn w:val="Normalny"/>
    <w:semiHidden/>
    <w:pPr>
      <w:shd w:val="clear" w:color="auto" w:fill="000080"/>
    </w:pPr>
    <w:rPr>
      <w:rFonts w:ascii="Tahoma" w:hAnsi="Tahoma" w:cs="Tahoma"/>
      <w:sz w:val="20"/>
      <w:szCs w:val="20"/>
    </w:rPr>
  </w:style>
  <w:style w:type="paragraph" w:styleId="Tekstdymka">
    <w:name w:val="Balloon Text"/>
    <w:basedOn w:val="Normalny"/>
    <w:semiHidden/>
    <w:rPr>
      <w:rFonts w:ascii="Tahoma" w:hAnsi="Tahoma" w:cs="Tahoma"/>
      <w:sz w:val="16"/>
      <w:szCs w:val="16"/>
    </w:r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customStyle="1" w:styleId="Default">
    <w:name w:val="Default"/>
    <w:rsid w:val="005924C9"/>
    <w:pPr>
      <w:autoSpaceDE w:val="0"/>
      <w:autoSpaceDN w:val="0"/>
      <w:adjustRightInd w:val="0"/>
    </w:pPr>
    <w:rPr>
      <w:rFonts w:ascii="Arial" w:hAnsi="Arial" w:cs="Arial"/>
      <w:color w:val="000000"/>
      <w:sz w:val="24"/>
      <w:szCs w:val="24"/>
      <w:lang w:eastAsia="pl-PL"/>
    </w:rPr>
  </w:style>
  <w:style w:type="paragraph" w:styleId="Tekstpodstawowy">
    <w:name w:val="Body Text"/>
    <w:basedOn w:val="Normalny"/>
    <w:link w:val="TekstpodstawowyZnak"/>
    <w:rsid w:val="00B64AFF"/>
    <w:pPr>
      <w:overflowPunct w:val="0"/>
      <w:autoSpaceDE w:val="0"/>
      <w:autoSpaceDN w:val="0"/>
      <w:adjustRightInd w:val="0"/>
      <w:jc w:val="both"/>
      <w:textAlignment w:val="baseline"/>
    </w:pPr>
  </w:style>
  <w:style w:type="character" w:customStyle="1" w:styleId="TekstpodstawowyZnak">
    <w:name w:val="Tekst podstawowy Znak"/>
    <w:link w:val="Tekstpodstawowy"/>
    <w:rsid w:val="00B64AFF"/>
    <w:rPr>
      <w:sz w:val="24"/>
      <w:szCs w:val="24"/>
      <w:lang w:val="pl-PL" w:eastAsia="pl-PL"/>
    </w:rPr>
  </w:style>
  <w:style w:type="paragraph" w:styleId="Akapitzlist">
    <w:name w:val="List Paragraph"/>
    <w:basedOn w:val="Normalny"/>
    <w:uiPriority w:val="34"/>
    <w:qFormat/>
    <w:rsid w:val="71854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wz.uw.edu.pl/images/logos/wz%20logo%20pl.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8058</Characters>
  <Application>Microsoft Office Word</Application>
  <DocSecurity>0</DocSecurity>
  <Lines>67</Lines>
  <Paragraphs>18</Paragraphs>
  <ScaleCrop>false</ScaleCrop>
  <Company>Uniwersytet Warszawski</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 dotyczy studiów I i II stopnia</dc:title>
  <dc:subject/>
  <dc:creator>Agata Wroczyńska</dc:creator>
  <cp:keywords/>
  <dc:description/>
  <cp:lastModifiedBy>Agata Król</cp:lastModifiedBy>
  <cp:revision>2</cp:revision>
  <cp:lastPrinted>2010-02-19T21:03:00Z</cp:lastPrinted>
  <dcterms:created xsi:type="dcterms:W3CDTF">2025-11-03T14:38:00Z</dcterms:created>
  <dcterms:modified xsi:type="dcterms:W3CDTF">2025-11-03T14:38:00Z</dcterms:modified>
</cp:coreProperties>
</file>