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7C68" w14:textId="77777777" w:rsidR="00187E93" w:rsidRPr="00182648" w:rsidRDefault="00187E93" w:rsidP="00187E93">
      <w:pPr>
        <w:spacing w:after="0"/>
        <w:jc w:val="center"/>
        <w:rPr>
          <w:b/>
          <w:sz w:val="32"/>
          <w:szCs w:val="32"/>
        </w:rPr>
      </w:pPr>
      <w:r w:rsidRPr="00182648">
        <w:rPr>
          <w:b/>
          <w:sz w:val="32"/>
          <w:szCs w:val="32"/>
        </w:rPr>
        <w:t>Propozycje seminariów magisterskich na rok akademicki 2025/2026</w:t>
      </w:r>
    </w:p>
    <w:p w14:paraId="449140BB" w14:textId="1B819CD3" w:rsidR="00AA565A" w:rsidRDefault="00AA565A" w:rsidP="00187E93">
      <w:pPr>
        <w:spacing w:after="0"/>
      </w:pPr>
    </w:p>
    <w:tbl>
      <w:tblPr>
        <w:tblStyle w:val="Tabela-Siatka"/>
        <w:tblW w:w="15735" w:type="dxa"/>
        <w:tblInd w:w="-998" w:type="dxa"/>
        <w:tblLook w:val="04A0" w:firstRow="1" w:lastRow="0" w:firstColumn="1" w:lastColumn="0" w:noHBand="0" w:noVBand="1"/>
      </w:tblPr>
      <w:tblGrid>
        <w:gridCol w:w="495"/>
        <w:gridCol w:w="2935"/>
        <w:gridCol w:w="6223"/>
        <w:gridCol w:w="6082"/>
      </w:tblGrid>
      <w:tr w:rsidR="00187E93" w:rsidRPr="00953E60" w14:paraId="564B5DA8" w14:textId="77777777" w:rsidTr="000A305A">
        <w:tc>
          <w:tcPr>
            <w:tcW w:w="495" w:type="dxa"/>
          </w:tcPr>
          <w:p w14:paraId="3F37FC44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35" w:type="dxa"/>
          </w:tcPr>
          <w:p w14:paraId="61D5A168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Promotor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5B9DF16A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Kierunek Rachunkowość i controlling oraz Inwestycje i analiza danych</w:t>
            </w:r>
          </w:p>
          <w:p w14:paraId="55435928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Studia stacjonarne</w:t>
            </w:r>
          </w:p>
          <w:p w14:paraId="13C031B8" w14:textId="7681DD0F" w:rsidR="00187E93" w:rsidRPr="00953E60" w:rsidRDefault="00187E93" w:rsidP="00187E9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90597A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6082" w:type="dxa"/>
            <w:shd w:val="clear" w:color="auto" w:fill="D9D9D9" w:themeFill="background1" w:themeFillShade="D9"/>
          </w:tcPr>
          <w:p w14:paraId="4F401FAF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Kierunek Rachunkowość i controlling oraz Inwestycje i analiza danych</w:t>
            </w:r>
          </w:p>
          <w:p w14:paraId="6A0C4D1F" w14:textId="77777777" w:rsidR="00187E93" w:rsidRPr="00953E60" w:rsidRDefault="00187E93" w:rsidP="00187E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Studia zaoczne</w:t>
            </w:r>
          </w:p>
          <w:p w14:paraId="74F78237" w14:textId="00185837" w:rsidR="00187E93" w:rsidRPr="00953E60" w:rsidRDefault="00187E93" w:rsidP="00187E9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90597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187E93" w:rsidRPr="00953E60" w14:paraId="05538793" w14:textId="77777777" w:rsidTr="000A305A">
        <w:tc>
          <w:tcPr>
            <w:tcW w:w="495" w:type="dxa"/>
          </w:tcPr>
          <w:p w14:paraId="2454E29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935" w:type="dxa"/>
          </w:tcPr>
          <w:p w14:paraId="67860F5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hab. Leszek Borowiec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1D07CEA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4F8ED5A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Rachunkowość i Finanse w zarządzaniu podmiotami gospodarczymi</w:t>
            </w:r>
          </w:p>
          <w:p w14:paraId="35A70F0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4F7811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61F2BA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Rachunkowość finansowa i sprawozdawczość finansowa</w:t>
            </w:r>
          </w:p>
          <w:p w14:paraId="74D9EA7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Audyt finansowy i wiarygodność informacji finansowej</w:t>
            </w:r>
          </w:p>
          <w:p w14:paraId="6705112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Rachunkowość zarządcza i kontroling w przedsiębiorstwie</w:t>
            </w:r>
          </w:p>
          <w:p w14:paraId="486EEB7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finansowa działalności gospodarczej</w:t>
            </w:r>
          </w:p>
          <w:p w14:paraId="624D05B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Rachunek kosztów i zarządzanie kosztami</w:t>
            </w:r>
          </w:p>
          <w:p w14:paraId="3FE0CEC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Pomiar dokonań podmiotów gospodarczych i jednostek non-profit</w:t>
            </w:r>
          </w:p>
          <w:p w14:paraId="2E69F3A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finansami podmiotów sektora publicznego</w:t>
            </w:r>
          </w:p>
          <w:p w14:paraId="31B5001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Rachunkowość i sprawozdawczość w sektorach regulowanych</w:t>
            </w:r>
          </w:p>
          <w:p w14:paraId="07D17BE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Konkurencyjność przedsiębiorstw a ich wyniki finansowe</w:t>
            </w:r>
          </w:p>
          <w:p w14:paraId="0A8BF97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Finansowe aspekty funkcjonowania fundacji, stowarzyszeń i innych organizacji non-profit</w:t>
            </w:r>
          </w:p>
          <w:p w14:paraId="36EDC67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Inna tematyka z ogólnego zakresu seminarium indywidualnie uzgodniona ze Studentem</w:t>
            </w:r>
          </w:p>
          <w:p w14:paraId="5AE459B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59BB00D3" w14:textId="77777777" w:rsidTr="000A305A">
        <w:tc>
          <w:tcPr>
            <w:tcW w:w="495" w:type="dxa"/>
          </w:tcPr>
          <w:p w14:paraId="7084B2B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35" w:type="dxa"/>
          </w:tcPr>
          <w:p w14:paraId="2DC83B8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Wojciech Chmielewski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5A023A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Finanse i wartość przedsiębiorstw w ujęciu międzynarodowym – modele finansowania, rentowność, wycena, płynność i ryzyko w cyklu życia firmy, ze szczególnym uwzględnieniem sektorów nowych technologii</w:t>
            </w:r>
          </w:p>
          <w:p w14:paraId="1B856CD5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ACD7D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9E1DA6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884863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Rentowność i modele finansowania przedsiębiorstw z obszaru infrastruktury sztucznej inteligencji w ujęciu globalnym – porównanie wybranych regionów świata</w:t>
            </w:r>
          </w:p>
          <w:p w14:paraId="0F1D11C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finansowanie przedsiębiorstw nowych technologii z wykorzystaniem funduszy venture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capital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equity – porównanie wybranych krajów Unii Europejskiej i Stanów Zjednoczonych</w:t>
            </w:r>
          </w:p>
          <w:p w14:paraId="693F71B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Budowa wartości oraz narzędzia jej oceny w przedsiębiorstwach nowych technologii w cyklu życia firmy – od fazy startupu do przedsiębiorstwa w fazie dojrzałej</w:t>
            </w:r>
          </w:p>
          <w:p w14:paraId="41FAF17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przesłanek utraty płynności finansowej w przedsiębiorstwach – budowa i weryfikacja modelu wczesnego ostrzegania na przykładzie wybranych przedsiębiorstw</w:t>
            </w:r>
          </w:p>
          <w:p w14:paraId="530F5174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Bilans przedsiębiorstwa jako narzędzie ceny kondycji finansowej – kryteria prawidłowej struktury majątku i kapitału</w:t>
            </w:r>
          </w:p>
        </w:tc>
        <w:tc>
          <w:tcPr>
            <w:tcW w:w="6082" w:type="dxa"/>
            <w:shd w:val="clear" w:color="auto" w:fill="D9D9D9" w:themeFill="background1" w:themeFillShade="D9"/>
          </w:tcPr>
          <w:p w14:paraId="0DB4B17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Finanse i wartość przedsiębiorstw w ujęciu międzynarodowym – modele finansowania, rentowność, wycena, płynność i ryzyko w cyklu życia firmy, ze szczególnym uwzględnieniem sektorów nowych technologii</w:t>
            </w:r>
          </w:p>
          <w:p w14:paraId="6808483D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C8469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E49076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2AE515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Rentowność i modele finansowania przedsiębiorstw z obszaru infrastruktury sztucznej inteligencji w ujęciu globalnym – porównanie wybranych regionów świata</w:t>
            </w:r>
          </w:p>
          <w:p w14:paraId="447241C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finansowanie przedsiębiorstw nowych technologii z wykorzystaniem funduszy venture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capital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equity – porównanie wybranych krajów Unii Europejskiej i Stanów Zjednoczonych</w:t>
            </w:r>
          </w:p>
          <w:p w14:paraId="6E534A3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Budowa wartości oraz narzędzia jej oceny w przedsiębiorstwach nowych technologii w cyklu życia firmy – od fazy startupu do przedsiębiorstwa w fazie dojrzałej</w:t>
            </w:r>
          </w:p>
          <w:p w14:paraId="0C52D34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przesłanek utraty płynności finansowej w przedsiębiorstwach – budowa i weryfikacja modelu wczesnego ostrzegania na przykładzie wybranych przedsiębiorstw</w:t>
            </w:r>
          </w:p>
          <w:p w14:paraId="6081418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Bilans przedsiębiorstwa jako narzędzie ceny kondycji finansowej – kryteria prawidłowej struktury majątku i kapitału</w:t>
            </w:r>
          </w:p>
        </w:tc>
      </w:tr>
      <w:tr w:rsidR="00187E93" w:rsidRPr="00953E60" w14:paraId="540FE936" w14:textId="77777777" w:rsidTr="000A305A">
        <w:tc>
          <w:tcPr>
            <w:tcW w:w="495" w:type="dxa"/>
          </w:tcPr>
          <w:p w14:paraId="761B8E5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935" w:type="dxa"/>
          </w:tcPr>
          <w:p w14:paraId="1A31A5A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Rafał Cieślik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DADF60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5C4410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24FEDB3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Finanse przedsiębiorstw w dobie ESG: Analiza Fundamentalna, ESG Reporting i Wyzwania Wiarygodności Danych na Rynku Kapitałowym</w:t>
            </w:r>
          </w:p>
          <w:p w14:paraId="602DBA7B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57DC2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Program seminarium:</w:t>
            </w:r>
          </w:p>
          <w:p w14:paraId="26A65582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2B27AE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Rola Analizy Finansowej w Ocenie Kondycji Przedsiębiorstwa:</w:t>
            </w:r>
          </w:p>
          <w:p w14:paraId="509E14AD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953E60">
              <w:rPr>
                <w:rFonts w:cstheme="minorHAnsi"/>
                <w:sz w:val="20"/>
                <w:szCs w:val="20"/>
              </w:rPr>
              <w:t xml:space="preserve"> Tradycyjne i nowoczesne metody analizy finansowej.</w:t>
            </w:r>
          </w:p>
          <w:p w14:paraId="5B8C2236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Źródła informacji dla analizy finansowej: jednostkowe i skonsolidowane sprawozdanie finansowe.</w:t>
            </w:r>
          </w:p>
          <w:p w14:paraId="2A096B01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Wartość poznawcza sprawozdań finansowych według krajowych i międzynarodowych standardów rachunkowości.</w:t>
            </w:r>
          </w:p>
          <w:p w14:paraId="465AC2BB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Wyzwania Wiarygodności Danych Księgowych:</w:t>
            </w:r>
          </w:p>
          <w:p w14:paraId="22ED50B5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Problemy związane z wiarygodnością informacji finansowej.</w:t>
            </w:r>
          </w:p>
          <w:p w14:paraId="053E0241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Techniki manipulacji zyskiem: analiza przypadków.</w:t>
            </w:r>
          </w:p>
          <w:p w14:paraId="36E92A91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Metody detekcji fałszowania sprawozdań finansowych.</w:t>
            </w:r>
          </w:p>
          <w:p w14:paraId="2A12C3EF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Sprawozdawczość ESG i Decyzje Inwestycyjne:</w:t>
            </w:r>
          </w:p>
          <w:p w14:paraId="2CF377B3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Przydatność decyzyjna raportowania w obszarze zrównoważonego rozwoju dla inwestorów.</w:t>
            </w:r>
          </w:p>
          <w:p w14:paraId="1343D9A2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bookmarkStart w:id="0" w:name="_Hlk165749141"/>
            <w:r w:rsidRPr="00953E60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Greenwashing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: czy inwestorzy, rynki i zarządy naprawdę się tym przejmują?</w:t>
            </w:r>
          </w:p>
          <w:bookmarkEnd w:id="0"/>
          <w:p w14:paraId="2D00D9E5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Modele Wyceny Akcji, w tym w kontekście ESG:</w:t>
            </w:r>
          </w:p>
          <w:p w14:paraId="14B3E8F5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Porównanie różnych modeli wyceny akcji.</w:t>
            </w:r>
          </w:p>
          <w:p w14:paraId="54FCAC69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Analiza Fundamentalna a Rynek Kapitałowy:</w:t>
            </w:r>
          </w:p>
          <w:p w14:paraId="7C6F14D4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Zastosowanie analizy fundamentalnej w procesie podejmowania decyzji inwestycyjnych na polskim rynku kapitałowym.</w:t>
            </w:r>
          </w:p>
          <w:p w14:paraId="4C7EFD4E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Metody Przewidywania Upadłości Przedsiębiorstw:</w:t>
            </w:r>
          </w:p>
          <w:p w14:paraId="3EC86F94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Wykorzystanie metod przewidywania upadłości przedsiębiorstw w procesie decyzyjnym.</w:t>
            </w:r>
          </w:p>
          <w:p w14:paraId="2A6D5D3B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Koncepcja Zrównoważonego Rozwoju Przedsiębiorstwa: </w:t>
            </w:r>
          </w:p>
          <w:p w14:paraId="409E5974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teorii kreowania wartości dla akcjonariuszy i teorii interesariuszy w kontekście zrównoważonego rozwoju przedsiębiorstwa.</w:t>
            </w:r>
          </w:p>
          <w:p w14:paraId="15DA99C0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Metody Oceny Przedsięwzięć Inwestycyjnych: </w:t>
            </w:r>
          </w:p>
          <w:p w14:paraId="7E490FB9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Przedstawienie różnorodnych metod oceny projektów inwestycyjnych, od prostych metod wstępnej selekcji po zaawansowane techniki wyboru projektów, z uwzględnieniem specyfiki finansowania w formule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project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finance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.</w:t>
            </w:r>
          </w:p>
          <w:p w14:paraId="53ED1628" w14:textId="77777777" w:rsidR="00187E93" w:rsidRPr="00953E60" w:rsidRDefault="00187E93" w:rsidP="00187E93">
            <w:pPr>
              <w:spacing w:after="0" w:line="36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Analiza Ryzyka: </w:t>
            </w:r>
          </w:p>
          <w:p w14:paraId="4977D060" w14:textId="77777777" w:rsidR="00187E93" w:rsidRPr="00953E60" w:rsidRDefault="00187E93" w:rsidP="00187E93">
            <w:pPr>
              <w:spacing w:after="0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Zagadnienie analizy ryzyka w kontekście projektów inwestycyjnych, obejmujące metody oceny,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mitygacji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oraz dodatkowe czynniki ryzyka, takie jak zmiany klimatu, przejście na gospodarkę zrównoważoną oraz ryzyko niepokojów społecznych.</w:t>
            </w:r>
          </w:p>
          <w:p w14:paraId="1481D688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87E93" w:rsidRPr="00953E60" w14:paraId="75055CF4" w14:textId="77777777" w:rsidTr="000A305A">
        <w:tc>
          <w:tcPr>
            <w:tcW w:w="495" w:type="dxa"/>
          </w:tcPr>
          <w:p w14:paraId="0172933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935" w:type="dxa"/>
          </w:tcPr>
          <w:p w14:paraId="23873DB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Iwona Gębusia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1658467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539326A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4F3F4680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53E60">
              <w:rPr>
                <w:rFonts w:cstheme="minorHAnsi"/>
                <w:b/>
                <w:bCs/>
                <w:sz w:val="20"/>
                <w:szCs w:val="20"/>
              </w:rPr>
              <w:t>I.Prawo</w:t>
            </w:r>
            <w:proofErr w:type="spellEnd"/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 rynku kapitałowego</w:t>
            </w:r>
          </w:p>
          <w:p w14:paraId="49806C8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ED02A3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2F08281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zajęć obejmie następujące zagadnienia:</w:t>
            </w:r>
          </w:p>
          <w:p w14:paraId="0FCB78BD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BE3B777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Podwyższenie kapitału zakładowego w spółce akcyjnej</w:t>
            </w:r>
          </w:p>
          <w:p w14:paraId="3A020AAD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Podstawowe pojęcia i zasady prawa rynku kapitałowego</w:t>
            </w:r>
          </w:p>
          <w:p w14:paraId="7B605C65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Dematerializacja instrumentów finansowych</w:t>
            </w:r>
          </w:p>
          <w:p w14:paraId="3AC58ED2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Reżim prawny funkcjonowania spółek publicznych</w:t>
            </w:r>
          </w:p>
          <w:p w14:paraId="4804D92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Nadzór nad rynkiem kapitałowym</w:t>
            </w:r>
          </w:p>
          <w:p w14:paraId="7D0B2586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Odpowiedzialność cywilna, administracyjna i karna na rynku kapitałowym.</w:t>
            </w:r>
          </w:p>
          <w:p w14:paraId="2FAB71A7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33E3C4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53E60">
              <w:rPr>
                <w:rFonts w:cstheme="minorHAnsi"/>
                <w:b/>
                <w:bCs/>
                <w:sz w:val="20"/>
                <w:szCs w:val="20"/>
              </w:rPr>
              <w:t>II.Umowy</w:t>
            </w:r>
            <w:proofErr w:type="spellEnd"/>
            <w:r w:rsidRPr="00953E60">
              <w:rPr>
                <w:rFonts w:cstheme="minorHAnsi"/>
                <w:b/>
                <w:bCs/>
                <w:sz w:val="20"/>
                <w:szCs w:val="20"/>
              </w:rPr>
              <w:t xml:space="preserve"> zawierane przez podmioty działające na rynku finansowym</w:t>
            </w:r>
          </w:p>
          <w:p w14:paraId="64B5B6B5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A2F3C29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123B4C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zajęć obejmie następujące zagadnienia:</w:t>
            </w:r>
          </w:p>
          <w:p w14:paraId="01DB25D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F485498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Charakterystyka ogólna umów zawieranych przez podmioty działające na rynku finansowym (banki, domy maklerskie, spółki publiczne, zakłady ubezpieczeń, fundusze inwestycyjne, etc.)</w:t>
            </w:r>
          </w:p>
          <w:p w14:paraId="24E225BD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Zawarcie, wykonanie i zmiana umów zawieranych przez podmioty działające na rynku finansowym</w:t>
            </w:r>
          </w:p>
          <w:p w14:paraId="12CE77F7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Typy umów zawieranych przez podmioty działające na rynku finansowym</w:t>
            </w:r>
          </w:p>
          <w:p w14:paraId="15DCE9F8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Zabezpieczenie wierzytelności na rynku finansowym, tj.: pojęcie zabezpieczenia, jego powstanie oraz wygaśnięcie, hipoteka, zastaw, przewłaszczenie na zabezpieczenie, poręczenie, zabezpieczające przystąpienie do długu i gwarancja</w:t>
            </w:r>
          </w:p>
          <w:p w14:paraId="57087B27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Odpowiedzialność przedsiębiorcy za niewykonanie lub nienależyte wykonanie zobowiązania, m.in.: wykonywanie umowy jako realizacja obowiązków stron, obowiązek naprawienia szkody, funkcje odszkodowania, podstawy odpowiedzialności odszkodowawczej, źródła odpowiedzialności kontraktowej, ograniczenie odpowiedzialności, odpowiedzialność za osoby trzecie, odpowiedzialność </w:t>
            </w:r>
            <w:r w:rsidRPr="00953E60">
              <w:rPr>
                <w:rFonts w:cstheme="minorHAnsi"/>
                <w:i/>
                <w:iCs/>
                <w:sz w:val="20"/>
                <w:szCs w:val="20"/>
              </w:rPr>
              <w:t xml:space="preserve">culpa in </w:t>
            </w:r>
            <w:proofErr w:type="spellStart"/>
            <w:r w:rsidRPr="00953E60">
              <w:rPr>
                <w:rFonts w:cstheme="minorHAnsi"/>
                <w:i/>
                <w:iCs/>
                <w:sz w:val="20"/>
                <w:szCs w:val="20"/>
              </w:rPr>
              <w:t>contrahendo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, zwolnienie z odpowiedzialności, kary umowne</w:t>
            </w:r>
          </w:p>
          <w:p w14:paraId="7B695983" w14:textId="77777777" w:rsidR="00187E93" w:rsidRPr="00953E60" w:rsidRDefault="00187E93" w:rsidP="00187E9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Kontrola umów zawieranych przez podmioty działające na rynku finansowym sprawowana przez sądy i organy administracji publicznej </w:t>
            </w:r>
          </w:p>
          <w:p w14:paraId="139BE856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EBC333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323B6899" w14:textId="77777777" w:rsidTr="000A305A">
        <w:tc>
          <w:tcPr>
            <w:tcW w:w="495" w:type="dxa"/>
          </w:tcPr>
          <w:p w14:paraId="69CC01A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935" w:type="dxa"/>
          </w:tcPr>
          <w:p w14:paraId="5267B3F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prof. dr hab. Andrzej Sopoćko/Dr Jacek Karasiński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F6EE357" w14:textId="77777777" w:rsidR="00187E93" w:rsidRPr="00953E60" w:rsidRDefault="00187E93" w:rsidP="00187E93">
            <w:pPr>
              <w:spacing w:after="0"/>
              <w:rPr>
                <w:rStyle w:val="Pogrubienie"/>
                <w:rFonts w:cstheme="minorHAnsi"/>
                <w:color w:val="353838"/>
                <w:sz w:val="20"/>
                <w:szCs w:val="20"/>
              </w:rPr>
            </w:pPr>
            <w:r w:rsidRPr="00953E60">
              <w:rPr>
                <w:rStyle w:val="Pogrubienie"/>
                <w:rFonts w:cstheme="minorHAnsi"/>
                <w:color w:val="353838"/>
                <w:sz w:val="20"/>
                <w:szCs w:val="20"/>
              </w:rPr>
              <w:t>Zarządzanie portfelem i inwestycje finansowe. Modele rynku kapitałowego i ryzyka. Analiza danych i data science w finansach</w:t>
            </w:r>
          </w:p>
          <w:p w14:paraId="0C1462B1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051ACAF0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6FE81A3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portfelem inwestycyjnym</w:t>
            </w:r>
          </w:p>
          <w:p w14:paraId="3642F00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Fundusze inwestycyjne</w:t>
            </w:r>
          </w:p>
          <w:p w14:paraId="40FEDEA3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Inwestowanie na rynku finansowym</w:t>
            </w:r>
          </w:p>
          <w:p w14:paraId="0CAFDF7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Modele rynku kapitałowego</w:t>
            </w:r>
          </w:p>
          <w:p w14:paraId="521DBB2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Modelowanie ryzyka finansowego</w:t>
            </w:r>
          </w:p>
          <w:p w14:paraId="59A224A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finansowym</w:t>
            </w:r>
          </w:p>
          <w:p w14:paraId="3C65182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instytucji kredytowych</w:t>
            </w:r>
          </w:p>
          <w:p w14:paraId="0D5D335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Analiza danych w finansach</w:t>
            </w:r>
          </w:p>
          <w:p w14:paraId="4B8764E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Data science w finansach</w:t>
            </w:r>
          </w:p>
          <w:p w14:paraId="2436B2A8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</w:p>
          <w:p w14:paraId="6170AE7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3AE230D3" w14:textId="77777777" w:rsidR="00187E93" w:rsidRPr="00953E60" w:rsidRDefault="00187E93" w:rsidP="00187E93">
            <w:pPr>
              <w:spacing w:after="0"/>
              <w:rPr>
                <w:rStyle w:val="Pogrubienie"/>
                <w:rFonts w:cstheme="minorHAnsi"/>
                <w:color w:val="353838"/>
                <w:sz w:val="20"/>
                <w:szCs w:val="20"/>
              </w:rPr>
            </w:pPr>
            <w:r w:rsidRPr="00953E60">
              <w:rPr>
                <w:rStyle w:val="Pogrubienie"/>
                <w:rFonts w:cstheme="minorHAnsi"/>
                <w:color w:val="353838"/>
                <w:sz w:val="20"/>
                <w:szCs w:val="20"/>
              </w:rPr>
              <w:t>Zarządzanie portfelem i inwestycje finansowe. Modele rynku kapitałowego i ryzyka. Analiza danych i data science w finansach</w:t>
            </w:r>
          </w:p>
          <w:p w14:paraId="1277D277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19D1E178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23C381F3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portfelem inwestycyjnym</w:t>
            </w:r>
          </w:p>
          <w:p w14:paraId="1E5D1A73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Fundusze inwestycyjne</w:t>
            </w:r>
          </w:p>
          <w:p w14:paraId="74CC791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Inwestowanie na rynku finansowym</w:t>
            </w:r>
          </w:p>
          <w:p w14:paraId="634DE32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Modele rynku kapitałowego</w:t>
            </w:r>
          </w:p>
          <w:p w14:paraId="3E106F2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Modelowanie ryzyka finansowego</w:t>
            </w:r>
          </w:p>
          <w:p w14:paraId="17848A5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finansowym</w:t>
            </w:r>
          </w:p>
          <w:p w14:paraId="52BC631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Zarządzanie ryzykiem instytucji kredytowych</w:t>
            </w:r>
          </w:p>
          <w:p w14:paraId="2032D66E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Analiza danych w finansach</w:t>
            </w:r>
          </w:p>
          <w:p w14:paraId="595908B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Data science w finansach</w:t>
            </w:r>
          </w:p>
          <w:p w14:paraId="47B00449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</w:p>
          <w:p w14:paraId="46A13A0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66F1E33" w14:textId="77777777" w:rsidTr="000A305A">
        <w:tc>
          <w:tcPr>
            <w:tcW w:w="495" w:type="dxa"/>
          </w:tcPr>
          <w:p w14:paraId="2C28717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935" w:type="dxa"/>
          </w:tcPr>
          <w:p w14:paraId="269527A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hab. prof. UW Karkowska Renata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431E7068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Inwestycje finansowe. Rynek kapitałowy. Sektor bankowy</w:t>
            </w:r>
          </w:p>
          <w:p w14:paraId="01CB179B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55645" w14:textId="77777777" w:rsidR="00187E93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</w:t>
            </w:r>
          </w:p>
          <w:p w14:paraId="4FDB816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portfelem inwestycyjnym</w:t>
            </w:r>
          </w:p>
          <w:p w14:paraId="3300A30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Efektywność inwestycji finansowych</w:t>
            </w:r>
          </w:p>
          <w:p w14:paraId="3A7A8C52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ryzyka finansowego</w:t>
            </w:r>
          </w:p>
          <w:p w14:paraId="0A6604A7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finansowa przedsiębiorstw</w:t>
            </w:r>
          </w:p>
          <w:p w14:paraId="06CD2C8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Modelowanie rynku kapitałowego</w:t>
            </w:r>
          </w:p>
          <w:p w14:paraId="0830D5F6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Fundusze inwestycyjne</w:t>
            </w:r>
          </w:p>
          <w:p w14:paraId="548CFF5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Ryzyko działalności instytucji finansowych</w:t>
            </w:r>
          </w:p>
          <w:p w14:paraId="402C25DD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fundamentalna i techniczna</w:t>
            </w:r>
          </w:p>
          <w:p w14:paraId="78B55BC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Badanie powiązań między rynkiem akcji, walut i towarów.</w:t>
            </w:r>
          </w:p>
          <w:p w14:paraId="608F195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ESG w sektorze bankowym</w:t>
            </w:r>
          </w:p>
          <w:p w14:paraId="6CCB1675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9852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41E5424B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3E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Inwestycje finansowe. Rynek kapitałowy. Sektor bankowy</w:t>
            </w:r>
          </w:p>
          <w:p w14:paraId="132D0207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384A9" w14:textId="77777777" w:rsidR="00187E93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</w:t>
            </w:r>
          </w:p>
          <w:p w14:paraId="41F5112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portfelem inwestycyjnym</w:t>
            </w:r>
          </w:p>
          <w:p w14:paraId="719EC845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Efektywność inwestycji finansowych</w:t>
            </w:r>
          </w:p>
          <w:p w14:paraId="7376027D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ryzyka finansowego</w:t>
            </w:r>
          </w:p>
          <w:p w14:paraId="114A6655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finansowa przedsiębiorstw</w:t>
            </w:r>
          </w:p>
          <w:p w14:paraId="6E44742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Modelowanie rynku kapitałowego</w:t>
            </w:r>
          </w:p>
          <w:p w14:paraId="53294C5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Fundusze inwestycyjne</w:t>
            </w:r>
          </w:p>
          <w:p w14:paraId="7261B057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Ryzyko działalności instytucji finansowych</w:t>
            </w:r>
          </w:p>
          <w:p w14:paraId="28B6EF8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Analiza fundamentalna i techniczna</w:t>
            </w:r>
          </w:p>
          <w:p w14:paraId="0D107DBE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Badanie powiązań między rynkiem akcji, walut i towarów.</w:t>
            </w:r>
          </w:p>
          <w:p w14:paraId="4CB4981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ESG w sektorze bankowym</w:t>
            </w:r>
          </w:p>
          <w:p w14:paraId="473CBCA5" w14:textId="77777777" w:rsidR="00187E93" w:rsidRPr="00953E60" w:rsidRDefault="00187E93" w:rsidP="00187E93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1DE88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3171ACE2" w14:textId="77777777" w:rsidTr="000A305A">
        <w:tc>
          <w:tcPr>
            <w:tcW w:w="495" w:type="dxa"/>
          </w:tcPr>
          <w:p w14:paraId="3FE64E1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7. </w:t>
            </w:r>
          </w:p>
        </w:tc>
        <w:tc>
          <w:tcPr>
            <w:tcW w:w="2935" w:type="dxa"/>
          </w:tcPr>
          <w:p w14:paraId="014F909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Grzegorz Keler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46B165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7B461DB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4BEEEDA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Podatki</w:t>
            </w:r>
          </w:p>
          <w:p w14:paraId="28207A16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00F863FB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54203A5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W ramach seminarium omówione zostaną najważniejsze instytucje prawa podatkowego, zarówno materialnego, jak i proceduralnego. Szczególnie duży nacisk zostanie położony na zagadnienia związane z opodatkowaniem przedsiębiorstw. W trakcie zajęć będą omawiane również praktyczne aspekty stosowania przepisów prawa podatkowego.</w:t>
            </w:r>
          </w:p>
          <w:p w14:paraId="736A4716" w14:textId="77777777" w:rsidR="00187E93" w:rsidRPr="00953E60" w:rsidRDefault="00187E93" w:rsidP="00187E93">
            <w:pPr>
              <w:spacing w:after="0"/>
              <w:ind w:left="708" w:firstLine="2"/>
              <w:rPr>
                <w:rFonts w:cstheme="minorHAnsi"/>
                <w:sz w:val="20"/>
                <w:szCs w:val="20"/>
              </w:rPr>
            </w:pPr>
          </w:p>
          <w:p w14:paraId="4F36007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 będzie obejmował następujące elementy:</w:t>
            </w:r>
          </w:p>
          <w:p w14:paraId="65BDB20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963584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Znaczenie podatków dla finansów państwa i jednostek samorządu terytorialnego</w:t>
            </w:r>
          </w:p>
          <w:p w14:paraId="333DD22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ryzykiem podatkowym w przedsiębiorstwie</w:t>
            </w:r>
          </w:p>
          <w:p w14:paraId="65B373B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Podatki dochodowe</w:t>
            </w:r>
          </w:p>
          <w:p w14:paraId="306AF5A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Podatki pośrednie, w tym VAT</w:t>
            </w:r>
          </w:p>
          <w:p w14:paraId="125E7D5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Podatki i opłaty lokalne</w:t>
            </w:r>
          </w:p>
          <w:p w14:paraId="4DFAD6C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Inne podatki</w:t>
            </w:r>
          </w:p>
          <w:p w14:paraId="2B0F8E2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Organy podatkowe</w:t>
            </w:r>
          </w:p>
          <w:p w14:paraId="0ECC540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Kontrola podatkowa i kontrola celno-skarbowa, postępowania podatkowe</w:t>
            </w:r>
          </w:p>
          <w:p w14:paraId="4FC0EB7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Prawo karne skarbowe</w:t>
            </w:r>
          </w:p>
          <w:p w14:paraId="3716C472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  <w:p w14:paraId="7F7B1F6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40725961" w14:textId="77777777" w:rsidTr="000A305A">
        <w:tc>
          <w:tcPr>
            <w:tcW w:w="495" w:type="dxa"/>
          </w:tcPr>
          <w:p w14:paraId="71021F8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8. </w:t>
            </w:r>
          </w:p>
        </w:tc>
        <w:tc>
          <w:tcPr>
            <w:tcW w:w="2935" w:type="dxa"/>
          </w:tcPr>
          <w:p w14:paraId="79819965" w14:textId="77777777" w:rsidR="00187E93" w:rsidRPr="00901FF9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01FF9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901FF9">
              <w:rPr>
                <w:rFonts w:cstheme="minorHAnsi"/>
                <w:sz w:val="20"/>
                <w:szCs w:val="20"/>
              </w:rPr>
              <w:t>Klimczuk</w:t>
            </w:r>
            <w:proofErr w:type="spellEnd"/>
            <w:r w:rsidRPr="00901FF9">
              <w:rPr>
                <w:rFonts w:cstheme="minorHAnsi"/>
                <w:sz w:val="20"/>
                <w:szCs w:val="20"/>
              </w:rPr>
              <w:t xml:space="preserve"> - Kochańska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BE6BFF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5E600FF8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26518CD0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projektami przez pryzmat finansów</w:t>
            </w:r>
          </w:p>
          <w:p w14:paraId="2193DABC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3B299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8B7C17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Budżetowanie w projektach </w:t>
            </w:r>
          </w:p>
          <w:p w14:paraId="7C86389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Ocena rentowności projektów</w:t>
            </w:r>
          </w:p>
          <w:p w14:paraId="4434E4F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Conrolling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projektów</w:t>
            </w:r>
          </w:p>
          <w:p w14:paraId="3C4002D6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ryzykiem finansowym w projektach</w:t>
            </w:r>
          </w:p>
          <w:p w14:paraId="7EB9AD4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Innowacje w zarządzaniu projektami</w:t>
            </w:r>
          </w:p>
          <w:p w14:paraId="343A297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Zastosowanie technologii cyfrowych w zarządzaniu finansami projektów</w:t>
            </w:r>
          </w:p>
          <w:p w14:paraId="36562AA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Finansowanie projektów: porównanie źródeł i modeli finansowania</w:t>
            </w:r>
          </w:p>
          <w:p w14:paraId="22B0044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Efektywność kosztowa w projektach: kluczowe wyzwania i strategie ich rozwiązywania</w:t>
            </w:r>
          </w:p>
          <w:p w14:paraId="55A0813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projektami publicznymi</w:t>
            </w:r>
          </w:p>
          <w:p w14:paraId="098AE78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Wpływ zrównoważonego zarządzania finansowego na sukces projektów</w:t>
            </w:r>
          </w:p>
          <w:p w14:paraId="30E06B1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Kluczowe czynniki sukcesu w zarządzaniu projektami: perspektywa finansowa</w:t>
            </w:r>
          </w:p>
          <w:p w14:paraId="2C78939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Zastosowanie metodyk zarządzania projektami</w:t>
            </w:r>
          </w:p>
          <w:p w14:paraId="28C3D47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Rola komunikacji i przywództwa w sukcesie projektów</w:t>
            </w:r>
          </w:p>
          <w:p w14:paraId="7BBA985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54F1A21" w14:textId="77777777" w:rsidTr="000A305A">
        <w:tc>
          <w:tcPr>
            <w:tcW w:w="495" w:type="dxa"/>
          </w:tcPr>
          <w:p w14:paraId="7DDBC51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935" w:type="dxa"/>
          </w:tcPr>
          <w:p w14:paraId="7325D26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Joanna Muczyńska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0D06D18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59A1F759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&gt;8</w:t>
            </w:r>
          </w:p>
          <w:p w14:paraId="359AE51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ryzykiem w instytucjach finansowych</w:t>
            </w:r>
          </w:p>
          <w:p w14:paraId="1253F322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A32D4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40CD30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Ryzyko inwestycyjne w działalności bankowej.</w:t>
            </w:r>
          </w:p>
          <w:p w14:paraId="3B08DCB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Zarządzanie ryzykiem kredytowym.</w:t>
            </w:r>
          </w:p>
          <w:p w14:paraId="5E08D15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Ryzyko ESG, ryzyko ICT – nowe kategorie ryzyka w działalności instytucji finansowych.</w:t>
            </w:r>
          </w:p>
          <w:p w14:paraId="1352F30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Ryzyka wdrażania nowych technologii w tym AI w działalności instytucji finansowych.</w:t>
            </w:r>
          </w:p>
          <w:p w14:paraId="7042553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Zmiany w działalności instytucji finansowych i ryzyka z nimi związane.</w:t>
            </w:r>
          </w:p>
          <w:p w14:paraId="3BCD157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Analiza wpływu czynników zewnętrznych na działalność instytucji finansowych (w tym zrządzanie poszczególnymi kategoriami ryzyka).</w:t>
            </w:r>
          </w:p>
          <w:p w14:paraId="45BD96C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758E48BF" w14:textId="77777777" w:rsidTr="000A305A">
        <w:tc>
          <w:tcPr>
            <w:tcW w:w="495" w:type="dxa"/>
          </w:tcPr>
          <w:p w14:paraId="16AA2DC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935" w:type="dxa"/>
          </w:tcPr>
          <w:p w14:paraId="19AB9B5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Tomasz Ogrodnik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77417B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6BBF0559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Sprawozdawczość finansowa jako element zarządzania przedsiębiorstwem</w:t>
            </w:r>
          </w:p>
          <w:p w14:paraId="1A3D0BD0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2FAF45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07D90C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</w:t>
            </w:r>
          </w:p>
          <w:p w14:paraId="4C27882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Elementy sprawozdawczości finansowej</w:t>
            </w:r>
          </w:p>
          <w:p w14:paraId="239EBE3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Bilansu,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RZiS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oraz sprawozdania z przepływów pieniężnych.</w:t>
            </w:r>
          </w:p>
          <w:p w14:paraId="1BF44ED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przedsiębiorstwa przez pryzmat sprawozdawczości finansowej</w:t>
            </w:r>
          </w:p>
          <w:p w14:paraId="0680BE6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i jej rola w ocenie wyników działalności przedsiębiorstw</w:t>
            </w:r>
          </w:p>
          <w:p w14:paraId="1414854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jednostki  i jej znaczenie dla rynku bankowego</w:t>
            </w:r>
          </w:p>
          <w:p w14:paraId="7248C54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6CC6587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103CB54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Sprawozdawczość finansowa jako element zarządzania przedsiębiorstwem</w:t>
            </w:r>
          </w:p>
          <w:p w14:paraId="040456B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57F7B1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6A27F5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</w:t>
            </w:r>
          </w:p>
          <w:p w14:paraId="52FD1AB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Elementy sprawozdawczości finansowej</w:t>
            </w:r>
          </w:p>
          <w:p w14:paraId="52F65869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Bilansu,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RZiS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oraz sprawozdania z przepływów pieniężnych.</w:t>
            </w:r>
          </w:p>
          <w:p w14:paraId="4FAA98F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przedsiębiorstwa przez pryzmat sprawozdawczości finansowej</w:t>
            </w:r>
          </w:p>
          <w:p w14:paraId="5EBC5B3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i jej rola w ocenie wyników działalności przedsiębiorstw</w:t>
            </w:r>
          </w:p>
          <w:p w14:paraId="7B03E1A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Sprawozdawczość finansowa jednostki  i jej znaczenie dla rynku bankowego</w:t>
            </w:r>
          </w:p>
          <w:p w14:paraId="5EF4EF5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34B25F8F" w14:textId="77777777" w:rsidTr="000A305A">
        <w:tc>
          <w:tcPr>
            <w:tcW w:w="495" w:type="dxa"/>
          </w:tcPr>
          <w:p w14:paraId="6E89C26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935" w:type="dxa"/>
          </w:tcPr>
          <w:p w14:paraId="35F4669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Karolina Puławska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C10F2C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Ryzyko ESG w działalności instytucji finansowych</w:t>
            </w:r>
          </w:p>
          <w:p w14:paraId="313F2F36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02FFF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E2255E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-Zarządzanie ryzykiem ESG w praktyce – strategie, modele i narzędzia stosowane w sektorze finansowym</w:t>
            </w:r>
          </w:p>
          <w:p w14:paraId="36479C4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Wpływ regulacji ESG (SFDR, CSRD, Taksonomia UE) na działalność instytucji finansowych</w:t>
            </w:r>
          </w:p>
          <w:p w14:paraId="7443EDC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Rola ujawnień ESG i raportowania niefinansowego w ocenie ryzyka oraz reputacji instytucji finansowych</w:t>
            </w:r>
          </w:p>
          <w:p w14:paraId="6D066AF2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Wpływ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 na decyzje kredytowe, inwestycyjne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underwritingowe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w bankach oraz zakładach ubezpieczeń</w:t>
            </w:r>
          </w:p>
          <w:p w14:paraId="2A41BCD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Metody ilościowe i jakościowe w ocenie ryzyka ESG</w:t>
            </w:r>
          </w:p>
          <w:p w14:paraId="36F5CEAF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Scoringi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i ratingi ESG oraz ich wpływ na decyzje finansowe i zarządzanie portfelem inwestycyjnym</w:t>
            </w:r>
          </w:p>
          <w:p w14:paraId="0F06D5D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Rola technologii (AI,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RegTech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FinTech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) w identyfikacji, pomiarze i monitorowaniu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</w:t>
            </w:r>
          </w:p>
          <w:p w14:paraId="14471AF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Odpowiedzialność społeczna banków i zakładów ubezpieczeń w zakresie ochrony danych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cyberbezpieczeństwa</w:t>
            </w:r>
            <w:proofErr w:type="spellEnd"/>
          </w:p>
          <w:p w14:paraId="06E11DA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053AD5C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3D26F0E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9F5AD8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Ryzyko ESG w działalności instytucji finansowych</w:t>
            </w:r>
          </w:p>
          <w:p w14:paraId="01100B4A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8DBC2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B78B6D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-Zarządzanie ryzykiem ESG w praktyce – strategie, modele i narzędzia stosowane w sektorze finansowym</w:t>
            </w:r>
          </w:p>
          <w:p w14:paraId="410BD0D1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Wpływ regulacji ESG (SFDR, CSRD, Taksonomia UE) na działalność instytucji finansowych</w:t>
            </w:r>
          </w:p>
          <w:p w14:paraId="7D56B2E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Rola ujawnień ESG i raportowania niefinansowego w ocenie ryzyka oraz reputacji instytucji finansowych</w:t>
            </w:r>
          </w:p>
          <w:p w14:paraId="021AEF24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Wpływ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 na decyzje kredytowe, inwestycyjne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underwritingowe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w bankach oraz zakładach ubezpieczeń</w:t>
            </w:r>
          </w:p>
          <w:p w14:paraId="5E54DEAA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- Metody ilościowe i jakościowe w ocenie ryzyka ESG</w:t>
            </w:r>
          </w:p>
          <w:p w14:paraId="78EF0E8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Scoringi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i ratingi ESG oraz ich wpływ na decyzje finansowe i zarządzanie portfelem inwestycyjnym</w:t>
            </w:r>
          </w:p>
          <w:p w14:paraId="060C472E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Rola technologii (AI,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RegTech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FinTech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) w identyfikacji, pomiarze i monitorowaniu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ryzyk</w:t>
            </w:r>
            <w:proofErr w:type="spellEnd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 ESG</w:t>
            </w:r>
          </w:p>
          <w:p w14:paraId="20135AC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Odpowiedzialność społeczna banków i zakładów ubezpieczeń w zakresie ochrony danych i </w:t>
            </w:r>
            <w:proofErr w:type="spellStart"/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cyberbezpieczeństwa</w:t>
            </w:r>
            <w:proofErr w:type="spellEnd"/>
          </w:p>
          <w:p w14:paraId="218F089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074989D0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</w:p>
          <w:p w14:paraId="2B3894D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562BB808" w14:textId="77777777" w:rsidTr="000A305A">
        <w:tc>
          <w:tcPr>
            <w:tcW w:w="495" w:type="dxa"/>
          </w:tcPr>
          <w:p w14:paraId="3A08C2EC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935" w:type="dxa"/>
          </w:tcPr>
          <w:p w14:paraId="7D2AA6A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prof. UW Andrzej Rutkowski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684778F4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8F81C42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finansami przedsiębiorstwa, przedsiębiorstwo na rynku kapitałowym</w:t>
            </w:r>
          </w:p>
          <w:p w14:paraId="0160CDDF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C698D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2E225C1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Fuzje i przejęcia. Analiza </w:t>
            </w:r>
            <w:proofErr w:type="spellStart"/>
            <w:r w:rsidRPr="00953E60">
              <w:rPr>
                <w:rFonts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953E6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. Wycena efektu synergii.</w:t>
            </w:r>
          </w:p>
          <w:p w14:paraId="48CF4497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wspólnych przedsięwzięć i strategicznych aliansów. </w:t>
            </w:r>
          </w:p>
          <w:p w14:paraId="528728C6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i projektowanie procesów restrukturyzacji.</w:t>
            </w:r>
          </w:p>
          <w:p w14:paraId="26341E8E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Wycena przedsiębiorstw.</w:t>
            </w:r>
          </w:p>
          <w:p w14:paraId="3884F345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Ocena sytuacji finansowej przedsiębiorstwa, Analiza fundamentalna. Analiza sektorowa.</w:t>
            </w:r>
          </w:p>
          <w:p w14:paraId="5F75750E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Prognozowanie upadłości przedsiębiorstw.</w:t>
            </w:r>
          </w:p>
          <w:p w14:paraId="381895DE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i zarządzanie płynnością.</w:t>
            </w:r>
          </w:p>
          <w:p w14:paraId="223A4230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Optymalizacja źródeł finansowania przedsiębiorstwa.</w:t>
            </w:r>
          </w:p>
          <w:p w14:paraId="3009EB6D" w14:textId="77777777" w:rsidR="00187E93" w:rsidRPr="005316E7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316E7">
              <w:rPr>
                <w:rFonts w:cstheme="minorHAnsi"/>
                <w:i/>
                <w:sz w:val="20"/>
                <w:szCs w:val="20"/>
                <w:lang w:val="en-US"/>
              </w:rPr>
              <w:t>- Venture capital</w:t>
            </w:r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/ </w:t>
            </w:r>
            <w:r w:rsidRPr="005316E7">
              <w:rPr>
                <w:rFonts w:cstheme="minorHAnsi"/>
                <w:i/>
                <w:iCs/>
                <w:sz w:val="20"/>
                <w:szCs w:val="20"/>
                <w:lang w:val="en-US"/>
              </w:rPr>
              <w:t>Private Equity</w:t>
            </w:r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6E7">
              <w:rPr>
                <w:rFonts w:cstheme="minorHAnsi"/>
                <w:sz w:val="20"/>
                <w:szCs w:val="20"/>
                <w:lang w:val="en-US"/>
              </w:rPr>
              <w:t>jako</w:t>
            </w:r>
            <w:proofErr w:type="spellEnd"/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6E7">
              <w:rPr>
                <w:rFonts w:cstheme="minorHAnsi"/>
                <w:sz w:val="20"/>
                <w:szCs w:val="20"/>
                <w:lang w:val="en-US"/>
              </w:rPr>
              <w:t>źródło</w:t>
            </w:r>
            <w:proofErr w:type="spellEnd"/>
            <w:r w:rsidRPr="005316E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16E7">
              <w:rPr>
                <w:rFonts w:cstheme="minorHAnsi"/>
                <w:sz w:val="20"/>
                <w:szCs w:val="20"/>
                <w:lang w:val="en-US"/>
              </w:rPr>
              <w:t>finansowania</w:t>
            </w:r>
            <w:proofErr w:type="spellEnd"/>
            <w:r w:rsidRPr="005316E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07999316" w14:textId="77777777" w:rsidR="00187E93" w:rsidRPr="00953E60" w:rsidRDefault="00187E93" w:rsidP="00187E9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Finansowanie przedsiębiorstw na wczesnym etapie rozwoju.</w:t>
            </w:r>
          </w:p>
          <w:p w14:paraId="29AC685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1F55E330" w14:textId="77777777" w:rsidTr="000A305A">
        <w:tc>
          <w:tcPr>
            <w:tcW w:w="495" w:type="dxa"/>
          </w:tcPr>
          <w:p w14:paraId="663FF05B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935" w:type="dxa"/>
          </w:tcPr>
          <w:p w14:paraId="3DF4D10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Joanna Smolarek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40346E3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3CC37AC3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color w:val="353838"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color w:val="353838"/>
                <w:sz w:val="20"/>
                <w:szCs w:val="20"/>
              </w:rPr>
              <w:t>Płynność i systemy gwarantowania podmiotów finansowych</w:t>
            </w:r>
          </w:p>
          <w:p w14:paraId="32494DE7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13E6033" w14:textId="77777777" w:rsidR="00187E93" w:rsidRPr="00953E60" w:rsidRDefault="00187E93" w:rsidP="00187E93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10FD50BC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Narzędzia zarządzania płynnością w banku i ich ewolucja</w:t>
            </w:r>
          </w:p>
          <w:p w14:paraId="610EE55B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płynnością jako czynniki przyczyniający się do upadku banku</w:t>
            </w:r>
          </w:p>
          <w:p w14:paraId="1381C295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płynnością a stabilność systemu finansowego</w:t>
            </w:r>
          </w:p>
          <w:p w14:paraId="74127E88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stabilnością systemu finansowego</w:t>
            </w:r>
          </w:p>
          <w:p w14:paraId="048D0E49" w14:textId="77777777" w:rsidR="00187E93" w:rsidRPr="00953E60" w:rsidRDefault="00187E93" w:rsidP="00187E93">
            <w:pPr>
              <w:spacing w:after="0"/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 xml:space="preserve">- </w:t>
            </w:r>
            <w:r w:rsidRPr="00953E60">
              <w:rPr>
                <w:rFonts w:eastAsia="Times New Roman" w:cstheme="minorHAnsi"/>
                <w:color w:val="353838"/>
                <w:sz w:val="20"/>
                <w:szCs w:val="20"/>
                <w:lang w:eastAsia="pl-PL"/>
              </w:rPr>
              <w:t>Zarządzanie systemami gwarantowania</w:t>
            </w:r>
          </w:p>
          <w:p w14:paraId="3269C922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7E93" w:rsidRPr="00953E60" w14:paraId="6C5F0CFF" w14:textId="77777777" w:rsidTr="000A305A">
        <w:tc>
          <w:tcPr>
            <w:tcW w:w="495" w:type="dxa"/>
          </w:tcPr>
          <w:p w14:paraId="3CF96701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935" w:type="dxa"/>
          </w:tcPr>
          <w:p w14:paraId="46F15E8A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Małgorzata Szafoni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34C4B16B" w14:textId="77777777" w:rsidR="00187E93" w:rsidRPr="00953E60" w:rsidRDefault="00187E93" w:rsidP="00187E93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Inwestycje a konkurencyjność i rozwój gospodarczy. Zarządzanie finansami w organizacji</w:t>
            </w:r>
          </w:p>
          <w:p w14:paraId="78D7352D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320015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DE092DE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Krajowe i międzynarodowe standardy raportowania finansowego i pozafinansowego – regulacje i praktyka wobec wyzwań ESG </w:t>
            </w:r>
          </w:p>
          <w:p w14:paraId="1B6F18E8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płynnością finansową i ryzykiem finansowym w perspektywie krótko, średnio i długookresowej  </w:t>
            </w:r>
          </w:p>
          <w:p w14:paraId="101B2FFC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Rachunkowość finansowa a rachunkowość zarządcza – regulacje, zasady, wyzwania i dobre praktyki</w:t>
            </w:r>
          </w:p>
          <w:p w14:paraId="7E0C96C2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finansami w organizacji – role, struktury, procesy, procedury, zadania </w:t>
            </w:r>
          </w:p>
          <w:p w14:paraId="440083DE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Rola głównego księgowego w organizacji – perspektywa sektora jednostki sektora finansów publicznych i przedsiębiorstwa prywatnego</w:t>
            </w:r>
          </w:p>
          <w:p w14:paraId="62CFAAFF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Współczesne rozwiązania informatyczne w rachunkowości </w:t>
            </w:r>
          </w:p>
          <w:p w14:paraId="53DFE030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Rachunkowość a kontroling – istota, cele, warunki efektywnej współpracy</w:t>
            </w:r>
          </w:p>
          <w:p w14:paraId="4EA86C53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Rola kontrolingu w zarządzaniu strategicznym w organizacji</w:t>
            </w:r>
          </w:p>
          <w:p w14:paraId="2E5092A8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Organizacja i zarządzanie procesem kontrolingu w jednostkach sektora finansów publicznych, przedsiębiorstwach, organizacjach non-profit - regulacje, zasady i dobre praktyki </w:t>
            </w:r>
          </w:p>
          <w:p w14:paraId="6416FD16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Kontroling zarządczy, operacyjny i finansowy – istota, cele, metody, narzędzia wspierające i dobre praktyki </w:t>
            </w:r>
          </w:p>
          <w:p w14:paraId="60F82ED3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Planowanie finansowe w jednostce sektora finansów publicznych – regulacje, wyzwania i dobre praktyki na przykładzie wybranych instytucji</w:t>
            </w:r>
          </w:p>
          <w:p w14:paraId="2C293BD5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Nowoczesny kontroling w organizacji – narzędzia informatyczne i zarządzanie danymi </w:t>
            </w:r>
          </w:p>
          <w:p w14:paraId="44E9126D" w14:textId="77777777" w:rsidR="00187E93" w:rsidRPr="00953E60" w:rsidRDefault="00187E93" w:rsidP="00187E9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Kontroling projektu inwestycyjnego</w:t>
            </w:r>
          </w:p>
          <w:p w14:paraId="3C74B458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4375827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3A3DB53F" w14:textId="77777777" w:rsidR="00187E93" w:rsidRPr="00953E60" w:rsidRDefault="00187E93" w:rsidP="00187E9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0597A" w:rsidRPr="00953E60" w14:paraId="7BE81174" w14:textId="77777777" w:rsidTr="000A305A">
        <w:tc>
          <w:tcPr>
            <w:tcW w:w="495" w:type="dxa"/>
          </w:tcPr>
          <w:p w14:paraId="63D15682" w14:textId="3553DBE0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935" w:type="dxa"/>
          </w:tcPr>
          <w:p w14:paraId="70F0AA37" w14:textId="4D418A24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Dr Ilona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Szwedziak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3A19195F" w14:textId="77777777" w:rsidR="0090597A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7A0E1EC4" w14:textId="77777777" w:rsidR="0090597A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520492">
              <w:rPr>
                <w:rFonts w:cstheme="minorHAnsi"/>
                <w:b/>
                <w:bCs/>
                <w:sz w:val="20"/>
                <w:szCs w:val="20"/>
              </w:rPr>
              <w:t>Regulacyjne, ekonomiczne i finansowe aspekty funkcjonowania przedsiębiorstw</w:t>
            </w:r>
          </w:p>
          <w:p w14:paraId="639A9DC6" w14:textId="77777777" w:rsidR="0090597A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2B3D74" w14:textId="77777777" w:rsidR="0090597A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 seminarium:</w:t>
            </w:r>
          </w:p>
          <w:p w14:paraId="6A24EBE3" w14:textId="79E0CF98" w:rsidR="0090597A" w:rsidRPr="00520492" w:rsidRDefault="0090597A" w:rsidP="0090597A">
            <w:pPr>
              <w:rPr>
                <w:rFonts w:cstheme="minorHAnsi"/>
                <w:sz w:val="20"/>
                <w:szCs w:val="20"/>
              </w:rPr>
            </w:pPr>
            <w:r w:rsidRPr="00520492">
              <w:rPr>
                <w:rFonts w:cstheme="minorHAnsi"/>
                <w:sz w:val="20"/>
                <w:szCs w:val="20"/>
              </w:rPr>
              <w:t>Seminarium obejmuje zagadnienia związane z funkcjonowaniem przedsiębiorstw w kontekstach rachunkowości, controllingu oraz finansów, niezależnie od formy prawnej prowadzonej działalności. Dodatkowy nacisk położony jest na uwarunkowania regulacyjne i gospodarcze wpływające na przedsiębiorstwa i determinujące podejmowane przez te przedsiębiorstwa działania.</w:t>
            </w:r>
          </w:p>
          <w:p w14:paraId="635FA804" w14:textId="516DBC62" w:rsidR="0090597A" w:rsidRPr="0090597A" w:rsidRDefault="0090597A" w:rsidP="0090597A">
            <w:pPr>
              <w:rPr>
                <w:rFonts w:cstheme="minorHAnsi"/>
                <w:sz w:val="20"/>
                <w:szCs w:val="20"/>
              </w:rPr>
            </w:pPr>
            <w:r w:rsidRPr="00520492">
              <w:rPr>
                <w:rFonts w:cstheme="minorHAnsi"/>
                <w:sz w:val="20"/>
                <w:szCs w:val="20"/>
              </w:rPr>
              <w:t>Proponowane (wybrane) tematy seminarium:</w:t>
            </w:r>
          </w:p>
          <w:p w14:paraId="67BD887A" w14:textId="77777777" w:rsidR="0090597A" w:rsidRPr="0090597A" w:rsidRDefault="0090597A" w:rsidP="0090597A">
            <w:pPr>
              <w:spacing w:after="0"/>
              <w:jc w:val="both"/>
              <w:rPr>
                <w:sz w:val="20"/>
                <w:szCs w:val="20"/>
              </w:rPr>
            </w:pPr>
            <w:r w:rsidRPr="0090597A">
              <w:rPr>
                <w:sz w:val="20"/>
                <w:szCs w:val="20"/>
              </w:rPr>
              <w:t>- Zakładanie/funkcjonowanie przedsiębiorstwa w ujęciu rachunkowym i finansowym.</w:t>
            </w:r>
          </w:p>
          <w:p w14:paraId="6D29A727" w14:textId="77777777" w:rsidR="0090597A" w:rsidRPr="0090597A" w:rsidRDefault="0090597A" w:rsidP="0090597A">
            <w:pPr>
              <w:spacing w:after="0"/>
              <w:jc w:val="both"/>
              <w:rPr>
                <w:sz w:val="20"/>
                <w:szCs w:val="20"/>
              </w:rPr>
            </w:pPr>
            <w:r w:rsidRPr="0090597A">
              <w:rPr>
                <w:sz w:val="20"/>
                <w:szCs w:val="20"/>
              </w:rPr>
              <w:t>- Forma prawna działalności a rachunkowość, sprawozdawczość finansowa i controlling.</w:t>
            </w:r>
          </w:p>
          <w:p w14:paraId="71FE8684" w14:textId="77777777" w:rsidR="0090597A" w:rsidRPr="0090597A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0597A">
              <w:rPr>
                <w:sz w:val="20"/>
                <w:szCs w:val="20"/>
              </w:rPr>
              <w:t>- Forma prawna przedsiębiorstwa a jego efektywność finansowa</w:t>
            </w:r>
            <w:r w:rsidRPr="0090597A">
              <w:rPr>
                <w:rFonts w:cstheme="minorHAnsi"/>
                <w:sz w:val="20"/>
                <w:szCs w:val="20"/>
              </w:rPr>
              <w:t>.</w:t>
            </w:r>
          </w:p>
          <w:p w14:paraId="4C7B5FD4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Otoczenie regulacyjne przedsiębiorstwa a system rachunkowości i raportowania finansowego.</w:t>
            </w:r>
          </w:p>
          <w:p w14:paraId="341814D1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 xml:space="preserve">Analiza </w:t>
            </w:r>
            <w:proofErr w:type="spellStart"/>
            <w:r w:rsidRPr="00520492">
              <w:rPr>
                <w:rFonts w:cstheme="minorHAnsi"/>
                <w:sz w:val="20"/>
                <w:szCs w:val="20"/>
              </w:rPr>
              <w:t>ekonomiczno</w:t>
            </w:r>
            <w:proofErr w:type="spellEnd"/>
            <w:r w:rsidRPr="00520492">
              <w:rPr>
                <w:rFonts w:cstheme="minorHAnsi"/>
                <w:sz w:val="20"/>
                <w:szCs w:val="20"/>
              </w:rPr>
              <w:t xml:space="preserve"> – finansowa wybranego sektora lub branży z wykorzystaniem danych.</w:t>
            </w:r>
          </w:p>
          <w:p w14:paraId="1AE376BC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 xml:space="preserve">Analiza </w:t>
            </w:r>
            <w:proofErr w:type="spellStart"/>
            <w:r w:rsidRPr="00520492">
              <w:rPr>
                <w:rFonts w:cstheme="minorHAnsi"/>
                <w:sz w:val="20"/>
                <w:szCs w:val="20"/>
              </w:rPr>
              <w:t>ekonomiczno</w:t>
            </w:r>
            <w:proofErr w:type="spellEnd"/>
            <w:r w:rsidRPr="00520492">
              <w:rPr>
                <w:rFonts w:cstheme="minorHAnsi"/>
                <w:sz w:val="20"/>
                <w:szCs w:val="20"/>
              </w:rPr>
              <w:t xml:space="preserve"> – finansowa wybranego przedsiębiorstwa z wykorzystaniem danych.</w:t>
            </w:r>
          </w:p>
          <w:p w14:paraId="234ED7DA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 xml:space="preserve">Podatkowe aspekty działalności gospodarczej w kontekście rachunkowości i </w:t>
            </w:r>
            <w:proofErr w:type="spellStart"/>
            <w:r w:rsidRPr="00520492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520492">
              <w:rPr>
                <w:rFonts w:cstheme="minorHAnsi"/>
                <w:sz w:val="20"/>
                <w:szCs w:val="20"/>
              </w:rPr>
              <w:t>.</w:t>
            </w:r>
          </w:p>
          <w:p w14:paraId="22BB7999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Controlling działalności operacyjnej i finansowej – studium przypadku wybranego przedsiębiorstwa.</w:t>
            </w:r>
          </w:p>
          <w:p w14:paraId="0D34AD4A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Raportowanie przedsiębiorstw w sprawach zrównoważonego rozwoju.</w:t>
            </w:r>
          </w:p>
          <w:p w14:paraId="38E8A708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Regulacje w zakresie ochrony konkurencji i konsumentów a ryzyka (finansowe i prawne).</w:t>
            </w:r>
          </w:p>
          <w:p w14:paraId="505CABC2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Transformacje gospodarcze (klimatyczna, energetyczna, cyfrowa) a rachunkowość, controlling i modele biznesowe przedsiębiorstw.</w:t>
            </w:r>
          </w:p>
          <w:p w14:paraId="5BBEFCE2" w14:textId="7F016276" w:rsidR="0090597A" w:rsidRPr="0090597A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5CB1B9C" w14:textId="77777777" w:rsidR="0090597A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2BEEEFD0" w14:textId="77777777" w:rsidR="0090597A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520492">
              <w:rPr>
                <w:rFonts w:cstheme="minorHAnsi"/>
                <w:b/>
                <w:bCs/>
                <w:sz w:val="20"/>
                <w:szCs w:val="20"/>
              </w:rPr>
              <w:t>Regulacyjne, ekonomiczne i finansowe aspekty funkcjonowania przedsiębiorstw</w:t>
            </w:r>
          </w:p>
          <w:p w14:paraId="0872C4A0" w14:textId="77777777" w:rsidR="0090597A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EDDB3C" w14:textId="77777777" w:rsidR="0090597A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 seminarium:</w:t>
            </w:r>
          </w:p>
          <w:p w14:paraId="01004D9D" w14:textId="77777777" w:rsidR="0090597A" w:rsidRPr="00520492" w:rsidRDefault="0090597A" w:rsidP="0090597A">
            <w:pPr>
              <w:rPr>
                <w:rFonts w:cstheme="minorHAnsi"/>
                <w:sz w:val="20"/>
                <w:szCs w:val="20"/>
              </w:rPr>
            </w:pPr>
            <w:r w:rsidRPr="00520492">
              <w:rPr>
                <w:rFonts w:cstheme="minorHAnsi"/>
                <w:sz w:val="20"/>
                <w:szCs w:val="20"/>
              </w:rPr>
              <w:t>Seminarium obejmuje zagadnienia związane z funkcjonowaniem przedsiębiorstw w kontekstach rachunkowości, controllingu oraz finansów, niezależnie od formy prawnej prowadzonej działalności. Dodatkowy nacisk położony jest na uwarunkowania regulacyjne i gospodarcze wpływające na przedsiębiorstwa i determinujące podejmowane przez te przedsiębiorstwa działania.</w:t>
            </w:r>
          </w:p>
          <w:p w14:paraId="03AE3816" w14:textId="77777777" w:rsidR="0090597A" w:rsidRPr="0090597A" w:rsidRDefault="0090597A" w:rsidP="0090597A">
            <w:pPr>
              <w:rPr>
                <w:rFonts w:cstheme="minorHAnsi"/>
                <w:sz w:val="20"/>
                <w:szCs w:val="20"/>
              </w:rPr>
            </w:pPr>
            <w:r w:rsidRPr="00520492">
              <w:rPr>
                <w:rFonts w:cstheme="minorHAnsi"/>
                <w:sz w:val="20"/>
                <w:szCs w:val="20"/>
              </w:rPr>
              <w:t>Proponowane (wybrane) tematy seminarium:</w:t>
            </w:r>
          </w:p>
          <w:p w14:paraId="4DAA5260" w14:textId="77777777" w:rsidR="0090597A" w:rsidRPr="0090597A" w:rsidRDefault="0090597A" w:rsidP="0090597A">
            <w:pPr>
              <w:spacing w:after="0"/>
              <w:jc w:val="both"/>
              <w:rPr>
                <w:sz w:val="20"/>
                <w:szCs w:val="20"/>
              </w:rPr>
            </w:pPr>
            <w:r w:rsidRPr="0090597A">
              <w:rPr>
                <w:sz w:val="20"/>
                <w:szCs w:val="20"/>
              </w:rPr>
              <w:t>- Zakładanie/funkcjonowanie przedsiębiorstwa w ujęciu rachunkowym i finansowym.</w:t>
            </w:r>
          </w:p>
          <w:p w14:paraId="1A26FC8F" w14:textId="77777777" w:rsidR="0090597A" w:rsidRPr="0090597A" w:rsidRDefault="0090597A" w:rsidP="0090597A">
            <w:pPr>
              <w:spacing w:after="0"/>
              <w:jc w:val="both"/>
              <w:rPr>
                <w:sz w:val="20"/>
                <w:szCs w:val="20"/>
              </w:rPr>
            </w:pPr>
            <w:r w:rsidRPr="0090597A">
              <w:rPr>
                <w:sz w:val="20"/>
                <w:szCs w:val="20"/>
              </w:rPr>
              <w:t>- Forma prawna działalności a rachunkowość, sprawozdawczość finansowa i controlling.</w:t>
            </w:r>
          </w:p>
          <w:p w14:paraId="64B3BFB5" w14:textId="77777777" w:rsidR="0090597A" w:rsidRPr="0090597A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0597A">
              <w:rPr>
                <w:sz w:val="20"/>
                <w:szCs w:val="20"/>
              </w:rPr>
              <w:t>- Forma prawna przedsiębiorstwa a jego efektywność finansowa</w:t>
            </w:r>
            <w:r w:rsidRPr="0090597A">
              <w:rPr>
                <w:rFonts w:cstheme="minorHAnsi"/>
                <w:sz w:val="20"/>
                <w:szCs w:val="20"/>
              </w:rPr>
              <w:t>.</w:t>
            </w:r>
          </w:p>
          <w:p w14:paraId="5ECE60B6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Otoczenie regulacyjne przedsiębiorstwa a system rachunkowości i raportowania finansowego.</w:t>
            </w:r>
          </w:p>
          <w:p w14:paraId="2E611DC7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 xml:space="preserve">Analiza </w:t>
            </w:r>
            <w:proofErr w:type="spellStart"/>
            <w:r w:rsidRPr="00520492">
              <w:rPr>
                <w:rFonts w:cstheme="minorHAnsi"/>
                <w:sz w:val="20"/>
                <w:szCs w:val="20"/>
              </w:rPr>
              <w:t>ekonomiczno</w:t>
            </w:r>
            <w:proofErr w:type="spellEnd"/>
            <w:r w:rsidRPr="00520492">
              <w:rPr>
                <w:rFonts w:cstheme="minorHAnsi"/>
                <w:sz w:val="20"/>
                <w:szCs w:val="20"/>
              </w:rPr>
              <w:t xml:space="preserve"> – finansowa wybranego sektora lub branży z wykorzystaniem danych.</w:t>
            </w:r>
          </w:p>
          <w:p w14:paraId="5EC03834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 xml:space="preserve">Analiza </w:t>
            </w:r>
            <w:proofErr w:type="spellStart"/>
            <w:r w:rsidRPr="00520492">
              <w:rPr>
                <w:rFonts w:cstheme="minorHAnsi"/>
                <w:sz w:val="20"/>
                <w:szCs w:val="20"/>
              </w:rPr>
              <w:t>ekonomiczno</w:t>
            </w:r>
            <w:proofErr w:type="spellEnd"/>
            <w:r w:rsidRPr="00520492">
              <w:rPr>
                <w:rFonts w:cstheme="minorHAnsi"/>
                <w:sz w:val="20"/>
                <w:szCs w:val="20"/>
              </w:rPr>
              <w:t xml:space="preserve"> – finansowa wybranego przedsiębiorstwa z wykorzystaniem danych.</w:t>
            </w:r>
          </w:p>
          <w:p w14:paraId="0F3905B9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 xml:space="preserve">Podatkowe aspekty działalności gospodarczej w kontekście rachunkowości i </w:t>
            </w:r>
            <w:proofErr w:type="spellStart"/>
            <w:r w:rsidRPr="00520492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520492">
              <w:rPr>
                <w:rFonts w:cstheme="minorHAnsi"/>
                <w:sz w:val="20"/>
                <w:szCs w:val="20"/>
              </w:rPr>
              <w:t>.</w:t>
            </w:r>
          </w:p>
          <w:p w14:paraId="199D5417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Controlling działalności operacyjnej i finansowej – studium przypadku wybranego przedsiębiorstwa.</w:t>
            </w:r>
          </w:p>
          <w:p w14:paraId="43AFAD94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Raportowanie przedsiębiorstw w sprawach zrównoważonego rozwoju.</w:t>
            </w:r>
          </w:p>
          <w:p w14:paraId="45A2DB96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Regulacje w zakresie ochrony konkurencji i konsumentów a ryzyka (finansowe i prawne).</w:t>
            </w:r>
          </w:p>
          <w:p w14:paraId="13CED4A6" w14:textId="77777777" w:rsidR="0090597A" w:rsidRPr="00520492" w:rsidRDefault="0090597A" w:rsidP="0090597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520492">
              <w:rPr>
                <w:rFonts w:cstheme="minorHAnsi"/>
                <w:sz w:val="20"/>
                <w:szCs w:val="20"/>
              </w:rPr>
              <w:t>Transformacje gospodarcze (klimatyczna, energetyczna, cyfrowa) a rachunkowość, controlling i modele biznesowe przedsiębiorstw.</w:t>
            </w:r>
          </w:p>
          <w:p w14:paraId="48F86283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0597A" w:rsidRPr="00953E60" w14:paraId="2841758E" w14:textId="77777777" w:rsidTr="000A305A">
        <w:tc>
          <w:tcPr>
            <w:tcW w:w="495" w:type="dxa"/>
          </w:tcPr>
          <w:p w14:paraId="15828E0C" w14:textId="07D90A01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953E6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4C901C21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Dr Katarzyna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Trzpioła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4F93F98D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7AD96EB6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Rachunkowość i sprawozdawczość przedsiębiorstw, organizacji pozarządowych i wybranych jednostek sektora finansów publicznych</w:t>
            </w:r>
          </w:p>
          <w:p w14:paraId="027929D1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</w:p>
          <w:p w14:paraId="7D45E767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953E60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7DCB4843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 xml:space="preserve">Aktualne zagadnienia rachunkowości wg </w:t>
            </w:r>
            <w:proofErr w:type="spellStart"/>
            <w:r w:rsidRPr="00953E60">
              <w:rPr>
                <w:rFonts w:cstheme="minorHAnsi"/>
                <w:bCs/>
                <w:sz w:val="20"/>
                <w:szCs w:val="20"/>
              </w:rPr>
              <w:t>uor</w:t>
            </w:r>
            <w:proofErr w:type="spellEnd"/>
            <w:r w:rsidRPr="00953E60">
              <w:rPr>
                <w:rFonts w:cstheme="minorHAnsi"/>
                <w:bCs/>
                <w:sz w:val="20"/>
                <w:szCs w:val="20"/>
              </w:rPr>
              <w:t xml:space="preserve"> i MSSF/MSR m.in. skutki zmian przepisów krajowe i międzynarodowe standardy rachunkowości, interakcje rachunkowości i regulacji podatkowych</w:t>
            </w:r>
          </w:p>
          <w:p w14:paraId="7AA02E31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Sprawozdania finansowe przedsiębiorstw– zawartość informacyjna</w:t>
            </w:r>
          </w:p>
          <w:p w14:paraId="6E1917BE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Metody wyceny aktywów i pasywów jako determinanty informacji zawartych w sprawozdaniach</w:t>
            </w:r>
          </w:p>
          <w:p w14:paraId="53B0BD4C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Sprawozdania finansowe – wybrane aspekty ujmowania i prezentacji zdarzeń gospodarczych</w:t>
            </w:r>
          </w:p>
          <w:p w14:paraId="3E5AEE64" w14:textId="77777777" w:rsidR="0090597A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Pozabilansowe uwarunkowania rachunkowości – wpływ m.in. regulacji podatkowych, ubezpieczeń społecznych, prawa handlowego czy regulacji sektora finansów publicznych</w:t>
            </w:r>
          </w:p>
          <w:p w14:paraId="41784DBE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bCs/>
                <w:sz w:val="20"/>
                <w:szCs w:val="20"/>
              </w:rPr>
              <w:t>Sprawozdania organizacji pozarządowych - – zawartość informacyjna, zasady sporządzania, publikacji a sprawozdania merytoryczne</w:t>
            </w:r>
          </w:p>
          <w:p w14:paraId="3F4B3C94" w14:textId="77777777" w:rsidR="0090597A" w:rsidRPr="00953E60" w:rsidRDefault="0090597A" w:rsidP="0090597A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eastAsia="Arial" w:cstheme="minorHAnsi"/>
                <w:bCs/>
                <w:sz w:val="20"/>
                <w:szCs w:val="20"/>
              </w:rPr>
              <w:t>Sprawozdania merytoryczne jako źródło informacji o działalności podmiotu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- </w:t>
            </w:r>
            <w:r w:rsidRPr="00953E60">
              <w:rPr>
                <w:rFonts w:eastAsia="Arial" w:cstheme="minorHAnsi"/>
                <w:bCs/>
                <w:sz w:val="20"/>
                <w:szCs w:val="20"/>
              </w:rPr>
              <w:t>Badanie sprawozdań finansowych</w:t>
            </w:r>
          </w:p>
          <w:p w14:paraId="445FC957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29BBE4B3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0597A" w:rsidRPr="00953E60" w14:paraId="1FCA398A" w14:textId="77777777" w:rsidTr="000A305A">
        <w:tc>
          <w:tcPr>
            <w:tcW w:w="495" w:type="dxa"/>
          </w:tcPr>
          <w:p w14:paraId="724789D9" w14:textId="35C4172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953E6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3D802BB0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Dr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Szczepan</w:t>
            </w:r>
            <w:proofErr w:type="spellEnd"/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Urjasz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7918E177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Inwestycje finansowe, modelowanie gospodarki i analiza danych</w:t>
            </w:r>
          </w:p>
          <w:p w14:paraId="4A8E8CF6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C2A796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BA406C0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efektywności inwestycji finansowych.</w:t>
            </w:r>
          </w:p>
          <w:p w14:paraId="7EA3C4BE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finansowa przedsiębiorstw.</w:t>
            </w:r>
          </w:p>
          <w:p w14:paraId="6BBFBAC9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Modelowanie finansowych szeregów czasowych.</w:t>
            </w:r>
          </w:p>
          <w:p w14:paraId="356DA456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Budowa portfela inwestycyjnego.</w:t>
            </w:r>
          </w:p>
          <w:p w14:paraId="4A463FB3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Analiza strategii inwestycyjnych.</w:t>
            </w:r>
          </w:p>
          <w:p w14:paraId="0406824F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Inwestycje alternatywne.</w:t>
            </w:r>
          </w:p>
          <w:p w14:paraId="08C1C0BB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Metody analizy ryzyka.</w:t>
            </w:r>
          </w:p>
          <w:p w14:paraId="0C0B89F9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Analiza współzmienności na rynkach akcji, rynkach obligacji, rynkach </w:t>
            </w:r>
          </w:p>
          <w:p w14:paraId="31B8C63D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walutowych, rynkach towarowych.</w:t>
            </w:r>
          </w:p>
          <w:p w14:paraId="1899CF28" w14:textId="77777777" w:rsidR="0090597A" w:rsidRPr="00953E60" w:rsidRDefault="0090597A" w:rsidP="0090597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Modelowanie i prognozowanie zmiennych ekonomicznych.</w:t>
            </w:r>
          </w:p>
          <w:p w14:paraId="5FACDF76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060598F9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0597A" w:rsidRPr="00953E60" w14:paraId="68FAC244" w14:textId="77777777" w:rsidTr="000A305A">
        <w:tc>
          <w:tcPr>
            <w:tcW w:w="495" w:type="dxa"/>
          </w:tcPr>
          <w:p w14:paraId="2C0E15A3" w14:textId="5C8B1384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953E6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3360D207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  <w:lang w:val="en-US"/>
              </w:rPr>
              <w:t xml:space="preserve">Dr Robert </w:t>
            </w:r>
            <w:proofErr w:type="spellStart"/>
            <w:r w:rsidRPr="00953E60">
              <w:rPr>
                <w:rFonts w:cstheme="minorHAnsi"/>
                <w:sz w:val="20"/>
                <w:szCs w:val="20"/>
                <w:lang w:val="en-US"/>
              </w:rPr>
              <w:t>Wolański</w:t>
            </w:r>
            <w:proofErr w:type="spellEnd"/>
          </w:p>
        </w:tc>
        <w:tc>
          <w:tcPr>
            <w:tcW w:w="6223" w:type="dxa"/>
            <w:shd w:val="clear" w:color="auto" w:fill="F2F2F2" w:themeFill="background1" w:themeFillShade="F2"/>
          </w:tcPr>
          <w:p w14:paraId="246618C8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7BD17A02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2E429843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Podatki, banki, ubezpieczenia i inne instytucje finansowe</w:t>
            </w:r>
          </w:p>
          <w:p w14:paraId="4BD80DCB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95FB37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6D337FC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I. Podatki i prawo podatkowe</w:t>
            </w:r>
          </w:p>
          <w:p w14:paraId="10179192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konstrukcje poszczególnych typów podatków,</w:t>
            </w:r>
          </w:p>
          <w:p w14:paraId="73384B67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polskie rozwiązania podatkowe na tle unormowań europejskich,</w:t>
            </w:r>
          </w:p>
          <w:p w14:paraId="51B1A58E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harmonizacja polskiego prawa podatkowego z dyrektywami Unii Europejskiej,</w:t>
            </w:r>
          </w:p>
          <w:p w14:paraId="27290B3C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międzynarodowe prawo podatkowe (unikanie podwójnego opodatkowania, oazy podatkowe),</w:t>
            </w:r>
          </w:p>
          <w:p w14:paraId="6CA0BDAF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polskie prawo podatkowe w orzeczeniach sądowych i stanowiskach Ministerstwa Finansów,</w:t>
            </w:r>
          </w:p>
          <w:p w14:paraId="6D99C7F3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wpływ opodatkowania na funkcjonowanie i rozwój małych i średnich przedsiębiorstw.</w:t>
            </w:r>
          </w:p>
          <w:p w14:paraId="3F98AC57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II. Banki i prawo bankowe</w:t>
            </w:r>
          </w:p>
          <w:p w14:paraId="5F185135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sektor bankowy w strukturze gospodarki polskiej,</w:t>
            </w:r>
          </w:p>
          <w:p w14:paraId="42F042A8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polskie prawo bankowe na tle unormowań europejskich,</w:t>
            </w:r>
          </w:p>
          <w:p w14:paraId="163A1029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harmonizacja polskiego prawa bankowego z dyrektywami Unii Europejskiej,</w:t>
            </w:r>
          </w:p>
          <w:p w14:paraId="4C8AA24D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rola, funkcje i zadania Narodowego Banku Polskiego, polityka pieniężna, nadzór bankowy,</w:t>
            </w:r>
          </w:p>
          <w:p w14:paraId="7D8140A8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oferta banków skierowana do małych i średnich przedsiębiorstw.</w:t>
            </w:r>
          </w:p>
          <w:p w14:paraId="629A6151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III. Działalność ubezpieczeniowa</w:t>
            </w:r>
          </w:p>
          <w:p w14:paraId="57945D08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ubezpieczenia społeczne –obecny system ubezpieczeń społecznych, pracownicze programy emerytalne, indywidualne konta emerytalne, indywidualne konta zabezpieczenia emerytalnego, pracownicze plany kapitałowe</w:t>
            </w:r>
          </w:p>
          <w:p w14:paraId="71C1D85D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ubezpieczenia gospodarcze –działalność ubezpieczeniowa w Polsce, rodzaje ubezpieczeń na rynku, harmonizacja polskiego prawa ubezpieczeniowego, porównanie z normami europejskimi,</w:t>
            </w:r>
          </w:p>
          <w:p w14:paraId="34966D88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ubezpieczenia gospodarcze skierowane do małych i średnich przedsiębiorstw.</w:t>
            </w:r>
          </w:p>
          <w:p w14:paraId="09F4DD17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IV. Prawo finansowe podmiotów gospodarczych</w:t>
            </w:r>
          </w:p>
          <w:p w14:paraId="11D2774D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podstawowe umowy w obrocie gospodarczym np. leasing, factoring, franchising i inne.</w:t>
            </w:r>
          </w:p>
          <w:p w14:paraId="52378470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zasady funkcjonowania instytucji finansowych np. Giełda Papierów Wartościowych w Warszawie, fundusze inwestycyjne i inne,</w:t>
            </w:r>
          </w:p>
          <w:p w14:paraId="36E090C2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formy wspierania rozwoju małych i średnich przedsiębiorstw.</w:t>
            </w:r>
          </w:p>
          <w:p w14:paraId="601E34AC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V. Budżet państwa i prawo budżetowe</w:t>
            </w:r>
          </w:p>
          <w:p w14:paraId="01D78E4B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budżet państwa jako najważniejszy dokument rządowy, gospodarowanie środkami publicznymi,</w:t>
            </w:r>
          </w:p>
          <w:p w14:paraId="457A84A0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deficyt budżetowy i dług publiczny,</w:t>
            </w:r>
          </w:p>
          <w:p w14:paraId="083EBC82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budżet Unii Europejskiej, powiązania budżetu państwa z budżetem UE,</w:t>
            </w:r>
          </w:p>
          <w:p w14:paraId="69D26B31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finanse jednostek samorządu terytorialnego,</w:t>
            </w:r>
          </w:p>
          <w:p w14:paraId="486717D5" w14:textId="77777777" w:rsidR="0090597A" w:rsidRPr="00953E60" w:rsidRDefault="0090597A" w:rsidP="0090597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- pomoc budżetowa dla małych i średnich przedsiębiorstw.</w:t>
            </w:r>
          </w:p>
          <w:p w14:paraId="360A28D6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b/>
                <w:sz w:val="20"/>
                <w:szCs w:val="20"/>
              </w:rPr>
              <w:t>VI. Elementy prawa dewizowego i walutowego</w:t>
            </w:r>
          </w:p>
          <w:p w14:paraId="3ECD6725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0597A" w:rsidRPr="00953E60" w14:paraId="1F2B7FF7" w14:textId="77777777" w:rsidTr="000A305A">
        <w:tc>
          <w:tcPr>
            <w:tcW w:w="495" w:type="dxa"/>
          </w:tcPr>
          <w:p w14:paraId="76FBA402" w14:textId="558B72B9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53E6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935" w:type="dxa"/>
          </w:tcPr>
          <w:p w14:paraId="2ECFE3DA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Dr Tomasz Wyłuda</w:t>
            </w:r>
          </w:p>
        </w:tc>
        <w:tc>
          <w:tcPr>
            <w:tcW w:w="6223" w:type="dxa"/>
            <w:shd w:val="clear" w:color="auto" w:fill="F2F2F2" w:themeFill="background1" w:themeFillShade="F2"/>
          </w:tcPr>
          <w:p w14:paraId="7864F73C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&gt;8</w:t>
            </w:r>
          </w:p>
          <w:p w14:paraId="546DBF38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953E60">
              <w:rPr>
                <w:rFonts w:cstheme="minorHAnsi"/>
                <w:b/>
                <w:bCs/>
                <w:sz w:val="20"/>
                <w:szCs w:val="20"/>
              </w:rPr>
              <w:t>Zarządzanie finansami przedsiębiorstw oraz inwestycje</w:t>
            </w:r>
          </w:p>
          <w:p w14:paraId="114D9C17" w14:textId="77777777" w:rsidR="0090597A" w:rsidRPr="00953E60" w:rsidRDefault="0090597A" w:rsidP="0090597A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69E28A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E6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E24AD37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rynkami akcji w Polsce i za granicą</w:t>
            </w:r>
          </w:p>
          <w:p w14:paraId="0015CBBC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rynkiem obligacji: efektywność, ryzyko i rola agencji ratingowych</w:t>
            </w:r>
          </w:p>
          <w:p w14:paraId="5F3599FA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inwestycjami w nieruchomości: wdrażanie REIT oraz analiza efektywności</w:t>
            </w:r>
          </w:p>
          <w:p w14:paraId="2660EBE2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systemami emerytalnymi: IKE, IKZE, OFE, PPK i PPE w praktyce</w:t>
            </w:r>
          </w:p>
          <w:p w14:paraId="6F45F8F7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sektorami giełdowymi: analiza strategiczna wybranego obszaru (np. ukraińskie spółki na GPW)</w:t>
            </w:r>
          </w:p>
          <w:p w14:paraId="6A6D20F3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funduszami inwestycyjnymi i domami maklerskimi: modele FIO, FIZ, ETF oraz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asset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wealth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management</w:t>
            </w:r>
          </w:p>
          <w:p w14:paraId="779608FA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państwowymi funduszami majątkowymi (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Sovereign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Wealth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Funds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>)</w:t>
            </w:r>
          </w:p>
          <w:p w14:paraId="51E364F1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ryzykiem i przeciwdziałanie oszustwom na rynkach kapitałowych oraz w sprawozdaniach finansowych</w:t>
            </w:r>
          </w:p>
          <w:p w14:paraId="1BA450CA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inwestycjami w nowoczesne instrumenty: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kryptowaluty</w:t>
            </w:r>
            <w:proofErr w:type="spellEnd"/>
            <w:r w:rsidRPr="00953E60">
              <w:rPr>
                <w:rFonts w:cstheme="minorHAnsi"/>
                <w:sz w:val="20"/>
                <w:szCs w:val="20"/>
              </w:rPr>
              <w:t xml:space="preserve"> i NFT</w:t>
            </w:r>
          </w:p>
          <w:p w14:paraId="09BC03B1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portfelem inwestycji alternatywnych: obrazy, metale szlachetne, numizmaty, wina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whiskey</w:t>
            </w:r>
            <w:proofErr w:type="spellEnd"/>
          </w:p>
          <w:p w14:paraId="0CE65A85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finansami behawioralnymi: wpływ błędów emocjonalnych i poznawczych na decyzje inwestycyjne</w:t>
            </w:r>
          </w:p>
          <w:p w14:paraId="7C2B6326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 xml:space="preserve">Zarządzanie innowacjami w inwestycjach: rola AI, Big Data, Quantum Computing, robotyzacji, eksploracji kosmicznych i </w:t>
            </w:r>
            <w:proofErr w:type="spellStart"/>
            <w:r w:rsidRPr="00953E60">
              <w:rPr>
                <w:rFonts w:cstheme="minorHAnsi"/>
                <w:sz w:val="20"/>
                <w:szCs w:val="20"/>
              </w:rPr>
              <w:t>blockchain</w:t>
            </w:r>
            <w:proofErr w:type="spellEnd"/>
          </w:p>
          <w:p w14:paraId="2787A9E8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ryzykiem finansowym: metody identyfikacji, analiza technik minimalizacji ryzyka walutowego i makroekonomicznego</w:t>
            </w:r>
          </w:p>
          <w:p w14:paraId="1A8E01ED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953E60">
              <w:rPr>
                <w:rFonts w:cstheme="minorHAnsi"/>
                <w:sz w:val="20"/>
                <w:szCs w:val="20"/>
              </w:rPr>
              <w:t>Zarządzanie bankowością inwestycyjną: emisja papierów wartościowych, fuzje i przejęcia oraz modele doradztwa i zarządzania ryzykiem</w:t>
            </w:r>
          </w:p>
          <w:p w14:paraId="54EC9000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</w:tcPr>
          <w:p w14:paraId="125D44F7" w14:textId="77777777" w:rsidR="0090597A" w:rsidRPr="00953E60" w:rsidRDefault="0090597A" w:rsidP="00905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66A186D" w14:textId="77777777" w:rsidR="00187E93" w:rsidRDefault="00187E93" w:rsidP="00187E93">
      <w:pPr>
        <w:spacing w:after="0"/>
      </w:pPr>
    </w:p>
    <w:sectPr w:rsidR="00187E93" w:rsidSect="00187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47ED"/>
    <w:multiLevelType w:val="hybridMultilevel"/>
    <w:tmpl w:val="35323406"/>
    <w:lvl w:ilvl="0" w:tplc="B04E46F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3"/>
    <w:rsid w:val="00187E93"/>
    <w:rsid w:val="007303AE"/>
    <w:rsid w:val="0090597A"/>
    <w:rsid w:val="00A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E6FE"/>
  <w15:chartTrackingRefBased/>
  <w15:docId w15:val="{4F6BD47A-51E0-4EF4-AEE8-7D3A58E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E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18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7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3416</Words>
  <Characters>20502</Characters>
  <Application>Microsoft Office Word</Application>
  <DocSecurity>0</DocSecurity>
  <Lines>170</Lines>
  <Paragraphs>47</Paragraphs>
  <ScaleCrop>false</ScaleCrop>
  <Company>Uniwersytet Warszawski</Company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3</cp:revision>
  <dcterms:created xsi:type="dcterms:W3CDTF">2025-12-18T11:15:00Z</dcterms:created>
  <dcterms:modified xsi:type="dcterms:W3CDTF">2026-01-09T07:08:00Z</dcterms:modified>
</cp:coreProperties>
</file>