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EFA90" w14:textId="77777777" w:rsidR="00325422" w:rsidRPr="004D621E" w:rsidRDefault="00B06052" w:rsidP="00325422">
      <w:pPr>
        <w:spacing w:after="0" w:line="276" w:lineRule="auto"/>
        <w:jc w:val="center"/>
        <w:rPr>
          <w:lang w:val="en-GB"/>
        </w:rPr>
      </w:pPr>
      <w:r w:rsidRPr="004D621E">
        <w:rPr>
          <w:lang w:val="en-GB"/>
        </w:rPr>
        <w:t>Course description form</w:t>
      </w:r>
      <w:r w:rsidR="00325422" w:rsidRPr="004D621E">
        <w:rPr>
          <w:lang w:val="en-GB"/>
        </w:rPr>
        <w:t xml:space="preserve"> (</w:t>
      </w:r>
      <w:r w:rsidRPr="004D621E">
        <w:rPr>
          <w:lang w:val="en-GB"/>
        </w:rPr>
        <w:t>syllabus form</w:t>
      </w:r>
      <w:r w:rsidR="00325422" w:rsidRPr="004D621E">
        <w:rPr>
          <w:lang w:val="en-GB"/>
        </w:rPr>
        <w:t xml:space="preserve">) – </w:t>
      </w:r>
      <w:r w:rsidRPr="004D621E">
        <w:rPr>
          <w:lang w:val="en-GB"/>
        </w:rPr>
        <w:t>for 1</w:t>
      </w:r>
      <w:r w:rsidRPr="004D621E">
        <w:rPr>
          <w:vertAlign w:val="superscript"/>
          <w:lang w:val="en-GB"/>
        </w:rPr>
        <w:t>st</w:t>
      </w:r>
      <w:r w:rsidRPr="004D621E">
        <w:rPr>
          <w:lang w:val="en-GB"/>
        </w:rPr>
        <w:t xml:space="preserve"> and 2</w:t>
      </w:r>
      <w:r w:rsidRPr="004D621E">
        <w:rPr>
          <w:vertAlign w:val="superscript"/>
          <w:lang w:val="en-GB"/>
        </w:rPr>
        <w:t>nd</w:t>
      </w:r>
      <w:r w:rsidRPr="004D621E">
        <w:rPr>
          <w:lang w:val="en-GB"/>
        </w:rPr>
        <w:t xml:space="preserve"> cycle studies</w:t>
      </w:r>
    </w:p>
    <w:p w14:paraId="52FF4133" w14:textId="77777777" w:rsidR="00325422" w:rsidRPr="004D621E" w:rsidRDefault="00325422" w:rsidP="00325422">
      <w:pPr>
        <w:spacing w:after="0" w:line="276" w:lineRule="auto"/>
        <w:rPr>
          <w:lang w:val="en-GB"/>
        </w:rPr>
      </w:pPr>
    </w:p>
    <w:p w14:paraId="25752808" w14:textId="77777777" w:rsidR="00325422" w:rsidRPr="004D621E" w:rsidRDefault="00325422" w:rsidP="00325422">
      <w:pPr>
        <w:keepNext/>
        <w:spacing w:after="0" w:line="276" w:lineRule="auto"/>
        <w:ind w:left="-5"/>
      </w:pPr>
      <w:r w:rsidRPr="004D621E">
        <w:rPr>
          <w:b/>
        </w:rPr>
        <w:t xml:space="preserve">A. </w:t>
      </w:r>
      <w:r w:rsidR="00B06052" w:rsidRPr="004D621E">
        <w:rPr>
          <w:b/>
        </w:rPr>
        <w:t>General data</w:t>
      </w:r>
      <w:r w:rsidRPr="004D621E">
        <w:rPr>
          <w:b/>
        </w:rPr>
        <w:t xml:space="preserve"> </w:t>
      </w:r>
    </w:p>
    <w:tbl>
      <w:tblPr>
        <w:tblStyle w:val="TableGrid"/>
        <w:tblW w:w="9457" w:type="dxa"/>
        <w:tblInd w:w="-106" w:type="dxa"/>
        <w:tblLayout w:type="fixed"/>
        <w:tblCellMar>
          <w:left w:w="106" w:type="dxa"/>
          <w:right w:w="115" w:type="dxa"/>
        </w:tblCellMar>
        <w:tblLook w:val="04A0" w:firstRow="1" w:lastRow="0" w:firstColumn="1" w:lastColumn="0" w:noHBand="0" w:noVBand="1"/>
      </w:tblPr>
      <w:tblGrid>
        <w:gridCol w:w="1493"/>
        <w:gridCol w:w="1625"/>
        <w:gridCol w:w="6339"/>
      </w:tblGrid>
      <w:tr w:rsidR="00325422" w:rsidRPr="004D621E" w14:paraId="32B326B4" w14:textId="77777777" w:rsidTr="00662E4B">
        <w:trPr>
          <w:trHeight w:val="216"/>
          <w:tblHeader/>
        </w:trPr>
        <w:tc>
          <w:tcPr>
            <w:tcW w:w="3118" w:type="dxa"/>
            <w:gridSpan w:val="2"/>
            <w:tcBorders>
              <w:top w:val="single" w:sz="4" w:space="0" w:color="000000"/>
              <w:left w:val="single" w:sz="4" w:space="0" w:color="000000"/>
              <w:bottom w:val="single" w:sz="4" w:space="0" w:color="000000"/>
              <w:right w:val="single" w:sz="4" w:space="0" w:color="000000"/>
            </w:tcBorders>
          </w:tcPr>
          <w:p w14:paraId="1A8D80F8" w14:textId="77777777" w:rsidR="00325422" w:rsidRPr="004D621E" w:rsidRDefault="00B06052" w:rsidP="00883FAD">
            <w:pPr>
              <w:spacing w:line="276" w:lineRule="auto"/>
              <w:ind w:left="6"/>
              <w:jc w:val="center"/>
            </w:pPr>
            <w:r w:rsidRPr="004D621E">
              <w:rPr>
                <w:b/>
              </w:rPr>
              <w:t>Name of the field</w:t>
            </w:r>
          </w:p>
        </w:tc>
        <w:tc>
          <w:tcPr>
            <w:tcW w:w="6339" w:type="dxa"/>
            <w:tcBorders>
              <w:top w:val="single" w:sz="4" w:space="0" w:color="000000"/>
              <w:left w:val="single" w:sz="4" w:space="0" w:color="000000"/>
              <w:bottom w:val="single" w:sz="4" w:space="0" w:color="000000"/>
              <w:right w:val="single" w:sz="4" w:space="0" w:color="000000"/>
            </w:tcBorders>
          </w:tcPr>
          <w:p w14:paraId="41995733" w14:textId="77777777" w:rsidR="00325422" w:rsidRPr="004D621E" w:rsidRDefault="00B06052" w:rsidP="00883FAD">
            <w:pPr>
              <w:spacing w:line="276" w:lineRule="auto"/>
              <w:ind w:left="6"/>
              <w:jc w:val="center"/>
            </w:pPr>
            <w:r w:rsidRPr="004D621E">
              <w:rPr>
                <w:b/>
              </w:rPr>
              <w:t>Content</w:t>
            </w:r>
            <w:r w:rsidR="00325422" w:rsidRPr="004D621E">
              <w:rPr>
                <w:b/>
              </w:rPr>
              <w:t xml:space="preserve"> </w:t>
            </w:r>
          </w:p>
        </w:tc>
      </w:tr>
      <w:tr w:rsidR="00325422" w:rsidRPr="004D621E" w14:paraId="5B07EE87" w14:textId="77777777" w:rsidTr="00662E4B">
        <w:trPr>
          <w:cantSplit/>
          <w:trHeight w:val="218"/>
        </w:trPr>
        <w:tc>
          <w:tcPr>
            <w:tcW w:w="3118" w:type="dxa"/>
            <w:gridSpan w:val="2"/>
            <w:tcBorders>
              <w:top w:val="single" w:sz="4" w:space="0" w:color="000000"/>
              <w:left w:val="single" w:sz="4" w:space="0" w:color="000000"/>
              <w:bottom w:val="single" w:sz="4" w:space="0" w:color="000000"/>
              <w:right w:val="single" w:sz="4" w:space="0" w:color="000000"/>
            </w:tcBorders>
          </w:tcPr>
          <w:p w14:paraId="1DE0A5CD" w14:textId="77777777" w:rsidR="00325422" w:rsidRPr="004D621E" w:rsidRDefault="00B06052" w:rsidP="004D621E">
            <w:pPr>
              <w:spacing w:line="276" w:lineRule="auto"/>
            </w:pPr>
            <w:r w:rsidRPr="004D621E">
              <w:t xml:space="preserve">Course </w:t>
            </w:r>
            <w:proofErr w:type="spellStart"/>
            <w:r w:rsidRPr="004D621E">
              <w:t>title</w:t>
            </w:r>
            <w:proofErr w:type="spellEnd"/>
          </w:p>
        </w:tc>
        <w:tc>
          <w:tcPr>
            <w:tcW w:w="6339" w:type="dxa"/>
            <w:tcBorders>
              <w:top w:val="single" w:sz="4" w:space="0" w:color="000000"/>
              <w:left w:val="single" w:sz="4" w:space="0" w:color="000000"/>
              <w:bottom w:val="single" w:sz="4" w:space="0" w:color="000000"/>
              <w:right w:val="single" w:sz="4" w:space="0" w:color="000000"/>
            </w:tcBorders>
          </w:tcPr>
          <w:p w14:paraId="4E457E37" w14:textId="77777777" w:rsidR="006F1E61" w:rsidRDefault="000B4BE1">
            <w:pPr>
              <w:keepLines/>
              <w:spacing w:after="40" w:line="259" w:lineRule="auto"/>
              <w:rPr>
                <w:sz w:val="16"/>
                <w:szCs w:val="16"/>
                <w:highlight w:val="yellow"/>
              </w:rPr>
            </w:pPr>
            <w:r>
              <w:rPr>
                <w:rFonts w:ascii="Arial" w:eastAsia="Arial" w:hAnsi="Arial" w:cs="Arial"/>
                <w:sz w:val="18"/>
                <w:szCs w:val="18"/>
                <w:lang w:val="en-GB"/>
              </w:rPr>
              <w:t>Regulating (Fin)tech Markets</w:t>
            </w:r>
          </w:p>
        </w:tc>
      </w:tr>
      <w:tr w:rsidR="00325422" w:rsidRPr="004D621E" w14:paraId="4E307DEB"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5A56961F" w14:textId="77777777" w:rsidR="00325422" w:rsidRPr="004D621E" w:rsidRDefault="00B06052" w:rsidP="004D621E">
            <w:pPr>
              <w:spacing w:line="276" w:lineRule="auto"/>
            </w:pPr>
            <w:r w:rsidRPr="004D621E">
              <w:t>Organizational unit:</w:t>
            </w:r>
          </w:p>
        </w:tc>
        <w:tc>
          <w:tcPr>
            <w:tcW w:w="6339" w:type="dxa"/>
            <w:tcBorders>
              <w:top w:val="single" w:sz="4" w:space="0" w:color="000000"/>
              <w:left w:val="single" w:sz="4" w:space="0" w:color="000000"/>
              <w:bottom w:val="single" w:sz="4" w:space="0" w:color="000000"/>
              <w:right w:val="single" w:sz="4" w:space="0" w:color="000000"/>
            </w:tcBorders>
          </w:tcPr>
          <w:p w14:paraId="46C9FE60" w14:textId="77777777" w:rsidR="006F1E61" w:rsidRDefault="000B4BE1">
            <w:pPr>
              <w:keepLines/>
              <w:spacing w:after="40" w:line="259" w:lineRule="auto"/>
              <w:rPr>
                <w:sz w:val="16"/>
                <w:szCs w:val="16"/>
              </w:rPr>
            </w:pPr>
            <w:r>
              <w:rPr>
                <w:rFonts w:ascii="Arial" w:eastAsia="Arial" w:hAnsi="Arial" w:cs="Arial"/>
                <w:b/>
                <w:bCs/>
                <w:i/>
                <w:iCs/>
                <w:sz w:val="18"/>
                <w:szCs w:val="18"/>
                <w:lang w:val="en-GB"/>
              </w:rPr>
              <w:t>Faculty of Management, University of Warsaw, Chair of Digital Finance</w:t>
            </w:r>
          </w:p>
        </w:tc>
      </w:tr>
      <w:tr w:rsidR="00325422" w:rsidRPr="000C0EC7" w14:paraId="40FFB433" w14:textId="77777777" w:rsidTr="00662E4B">
        <w:trPr>
          <w:cantSplit/>
          <w:trHeight w:val="217"/>
        </w:trPr>
        <w:tc>
          <w:tcPr>
            <w:tcW w:w="3118" w:type="dxa"/>
            <w:gridSpan w:val="2"/>
            <w:tcBorders>
              <w:top w:val="single" w:sz="4" w:space="0" w:color="000000"/>
              <w:left w:val="single" w:sz="4" w:space="0" w:color="000000"/>
              <w:bottom w:val="single" w:sz="4" w:space="0" w:color="000000"/>
              <w:right w:val="single" w:sz="4" w:space="0" w:color="000000"/>
            </w:tcBorders>
          </w:tcPr>
          <w:p w14:paraId="355B806E" w14:textId="77777777" w:rsidR="00325422" w:rsidRPr="004D621E" w:rsidRDefault="00B06052" w:rsidP="004D621E">
            <w:pPr>
              <w:spacing w:line="276" w:lineRule="auto"/>
              <w:rPr>
                <w:lang w:val="en-GB"/>
              </w:rPr>
            </w:pPr>
            <w:r w:rsidRPr="004D621E">
              <w:rPr>
                <w:lang w:val="en-GB"/>
              </w:rPr>
              <w:t>Organizational unit where the course is offered:</w:t>
            </w:r>
          </w:p>
        </w:tc>
        <w:tc>
          <w:tcPr>
            <w:tcW w:w="6339" w:type="dxa"/>
            <w:tcBorders>
              <w:top w:val="single" w:sz="4" w:space="0" w:color="000000"/>
              <w:left w:val="single" w:sz="4" w:space="0" w:color="000000"/>
              <w:bottom w:val="single" w:sz="4" w:space="0" w:color="000000"/>
              <w:right w:val="single" w:sz="4" w:space="0" w:color="000000"/>
            </w:tcBorders>
          </w:tcPr>
          <w:p w14:paraId="125AD08F" w14:textId="77777777" w:rsidR="006F1E61" w:rsidRDefault="000B4BE1">
            <w:pPr>
              <w:keepLines/>
              <w:spacing w:after="40" w:line="259" w:lineRule="auto"/>
              <w:rPr>
                <w:sz w:val="16"/>
                <w:szCs w:val="16"/>
              </w:rPr>
            </w:pPr>
            <w:r>
              <w:rPr>
                <w:rFonts w:ascii="Arial" w:eastAsia="Arial" w:hAnsi="Arial" w:cs="Arial"/>
                <w:b/>
                <w:bCs/>
                <w:i/>
                <w:iCs/>
                <w:sz w:val="18"/>
                <w:szCs w:val="18"/>
                <w:lang w:val="en-GB"/>
              </w:rPr>
              <w:t>Faculty of Management, University of Warsaw</w:t>
            </w:r>
          </w:p>
        </w:tc>
      </w:tr>
      <w:tr w:rsidR="00325422" w:rsidRPr="004D621E" w14:paraId="30A7723C" w14:textId="77777777" w:rsidTr="00662E4B">
        <w:trPr>
          <w:cantSplit/>
          <w:trHeight w:val="214"/>
        </w:trPr>
        <w:tc>
          <w:tcPr>
            <w:tcW w:w="3118" w:type="dxa"/>
            <w:gridSpan w:val="2"/>
            <w:tcBorders>
              <w:top w:val="single" w:sz="4" w:space="0" w:color="000000"/>
              <w:left w:val="single" w:sz="4" w:space="0" w:color="000000"/>
              <w:bottom w:val="single" w:sz="4" w:space="0" w:color="000000"/>
              <w:right w:val="single" w:sz="4" w:space="0" w:color="000000"/>
            </w:tcBorders>
            <w:shd w:val="clear" w:color="auto" w:fill="CCCCCC"/>
          </w:tcPr>
          <w:p w14:paraId="2CB0CF7C" w14:textId="77777777" w:rsidR="00325422" w:rsidRPr="004D621E" w:rsidRDefault="00B06052" w:rsidP="004D621E">
            <w:pPr>
              <w:spacing w:line="276" w:lineRule="auto"/>
            </w:pPr>
            <w:r w:rsidRPr="004D621E">
              <w:t>Course ID</w:t>
            </w:r>
          </w:p>
        </w:tc>
        <w:tc>
          <w:tcPr>
            <w:tcW w:w="6339" w:type="dxa"/>
            <w:tcBorders>
              <w:top w:val="single" w:sz="4" w:space="0" w:color="000000"/>
              <w:left w:val="single" w:sz="4" w:space="0" w:color="000000"/>
              <w:bottom w:val="single" w:sz="4" w:space="0" w:color="000000"/>
              <w:right w:val="single" w:sz="4" w:space="0" w:color="000000"/>
            </w:tcBorders>
            <w:shd w:val="clear" w:color="auto" w:fill="CCCCCC"/>
          </w:tcPr>
          <w:p w14:paraId="1614A26A" w14:textId="77777777" w:rsidR="006F1E61" w:rsidRDefault="000B4BE1">
            <w:pPr>
              <w:keepLines/>
              <w:spacing w:after="40" w:line="259" w:lineRule="auto"/>
            </w:pPr>
            <w:r>
              <w:rPr>
                <w:rFonts w:ascii="Arial" w:eastAsia="Arial" w:hAnsi="Arial" w:cs="Arial"/>
                <w:sz w:val="18"/>
                <w:szCs w:val="18"/>
                <w:lang w:val="en-GB"/>
              </w:rPr>
              <w:t>2600-IBP-RFTM</w:t>
            </w:r>
          </w:p>
        </w:tc>
      </w:tr>
      <w:tr w:rsidR="00325422" w:rsidRPr="004D621E" w14:paraId="1894B19C" w14:textId="77777777" w:rsidTr="00662E4B">
        <w:trPr>
          <w:cantSplit/>
          <w:trHeight w:val="220"/>
        </w:trPr>
        <w:tc>
          <w:tcPr>
            <w:tcW w:w="3118" w:type="dxa"/>
            <w:gridSpan w:val="2"/>
            <w:tcBorders>
              <w:top w:val="single" w:sz="4" w:space="0" w:color="000000"/>
              <w:left w:val="single" w:sz="4" w:space="0" w:color="000000"/>
              <w:bottom w:val="single" w:sz="4" w:space="0" w:color="000000"/>
              <w:right w:val="single" w:sz="4" w:space="0" w:color="000000"/>
            </w:tcBorders>
          </w:tcPr>
          <w:p w14:paraId="22D62457" w14:textId="77777777" w:rsidR="00325422" w:rsidRPr="004D621E" w:rsidRDefault="00B06052" w:rsidP="004D621E">
            <w:pPr>
              <w:spacing w:line="276" w:lineRule="auto"/>
            </w:pPr>
            <w:r w:rsidRPr="004D621E">
              <w:t xml:space="preserve">Erasmus </w:t>
            </w:r>
            <w:proofErr w:type="spellStart"/>
            <w:r w:rsidRPr="004D621E">
              <w:t>code</w:t>
            </w:r>
            <w:proofErr w:type="spellEnd"/>
            <w:r w:rsidRPr="004D621E">
              <w:t xml:space="preserve"> / ISCED</w:t>
            </w:r>
          </w:p>
        </w:tc>
        <w:tc>
          <w:tcPr>
            <w:tcW w:w="6339" w:type="dxa"/>
            <w:tcBorders>
              <w:top w:val="single" w:sz="4" w:space="0" w:color="000000"/>
              <w:left w:val="single" w:sz="4" w:space="0" w:color="000000"/>
              <w:bottom w:val="single" w:sz="4" w:space="0" w:color="000000"/>
              <w:right w:val="single" w:sz="4" w:space="0" w:color="000000"/>
            </w:tcBorders>
          </w:tcPr>
          <w:p w14:paraId="0C3CEE75" w14:textId="77777777" w:rsidR="006F1E61" w:rsidRDefault="000B4BE1">
            <w:pPr>
              <w:keepLines/>
              <w:spacing w:after="40" w:line="259" w:lineRule="auto"/>
              <w:rPr>
                <w:sz w:val="16"/>
                <w:szCs w:val="16"/>
              </w:rPr>
            </w:pPr>
            <w:r>
              <w:rPr>
                <w:rFonts w:ascii="Arial" w:eastAsia="Arial" w:hAnsi="Arial" w:cs="Arial"/>
                <w:b/>
                <w:bCs/>
                <w:sz w:val="18"/>
                <w:szCs w:val="18"/>
                <w:lang w:val="en-GB"/>
              </w:rPr>
              <w:t>04000</w:t>
            </w:r>
          </w:p>
        </w:tc>
      </w:tr>
      <w:tr w:rsidR="00325422" w:rsidRPr="004D621E" w14:paraId="61843C7D" w14:textId="77777777" w:rsidTr="00662E4B">
        <w:trPr>
          <w:cantSplit/>
          <w:trHeight w:val="215"/>
        </w:trPr>
        <w:tc>
          <w:tcPr>
            <w:tcW w:w="3118" w:type="dxa"/>
            <w:gridSpan w:val="2"/>
            <w:tcBorders>
              <w:top w:val="single" w:sz="4" w:space="0" w:color="000000"/>
              <w:left w:val="single" w:sz="4" w:space="0" w:color="000000"/>
              <w:bottom w:val="single" w:sz="4" w:space="0" w:color="000000"/>
              <w:right w:val="single" w:sz="4" w:space="0" w:color="000000"/>
            </w:tcBorders>
            <w:shd w:val="clear" w:color="auto" w:fill="CCCCCC"/>
          </w:tcPr>
          <w:p w14:paraId="1B6E5C81" w14:textId="77777777" w:rsidR="00325422" w:rsidRPr="004D621E" w:rsidRDefault="00B06052" w:rsidP="004D621E">
            <w:pPr>
              <w:spacing w:line="276" w:lineRule="auto"/>
            </w:pPr>
            <w:r w:rsidRPr="004D621E">
              <w:t xml:space="preserve">Course </w:t>
            </w:r>
            <w:proofErr w:type="spellStart"/>
            <w:r w:rsidRPr="004D621E">
              <w:t>groups</w:t>
            </w:r>
            <w:proofErr w:type="spellEnd"/>
          </w:p>
        </w:tc>
        <w:tc>
          <w:tcPr>
            <w:tcW w:w="6339" w:type="dxa"/>
            <w:tcBorders>
              <w:top w:val="single" w:sz="4" w:space="0" w:color="000000"/>
              <w:left w:val="single" w:sz="4" w:space="0" w:color="000000"/>
              <w:bottom w:val="single" w:sz="4" w:space="0" w:color="000000"/>
              <w:right w:val="single" w:sz="4" w:space="0" w:color="000000"/>
            </w:tcBorders>
            <w:shd w:val="clear" w:color="auto" w:fill="CCCCCC"/>
          </w:tcPr>
          <w:p w14:paraId="73DF887E" w14:textId="77777777" w:rsidR="006F1E61" w:rsidRDefault="000B4BE1">
            <w:pPr>
              <w:keepLines/>
              <w:spacing w:after="40" w:line="259" w:lineRule="auto"/>
            </w:pPr>
            <w:r>
              <w:rPr>
                <w:rFonts w:ascii="Arial" w:eastAsia="Arial" w:hAnsi="Arial" w:cs="Arial"/>
                <w:sz w:val="18"/>
                <w:szCs w:val="18"/>
                <w:lang w:val="en-GB"/>
              </w:rPr>
              <w:t xml:space="preserve">Courses for year 2, </w:t>
            </w:r>
            <w:r>
              <w:rPr>
                <w:rFonts w:ascii="Arial" w:eastAsia="Arial" w:hAnsi="Arial" w:cs="Arial"/>
                <w:sz w:val="18"/>
                <w:szCs w:val="18"/>
                <w:lang w:val="en-GB"/>
              </w:rPr>
              <w:t>semester 3, full-time studies, IBP (New Programme valid from 2022/2023) (2600-S2-IBP-OB-21NP)</w:t>
            </w:r>
          </w:p>
        </w:tc>
      </w:tr>
      <w:tr w:rsidR="00325422" w:rsidRPr="000C0EC7" w14:paraId="653A02E0" w14:textId="77777777" w:rsidTr="00662E4B">
        <w:trPr>
          <w:cantSplit/>
          <w:trHeight w:val="217"/>
        </w:trPr>
        <w:tc>
          <w:tcPr>
            <w:tcW w:w="3118" w:type="dxa"/>
            <w:gridSpan w:val="2"/>
            <w:tcBorders>
              <w:top w:val="single" w:sz="4" w:space="0" w:color="000000"/>
              <w:left w:val="single" w:sz="4" w:space="0" w:color="000000"/>
              <w:bottom w:val="single" w:sz="4" w:space="0" w:color="000000"/>
              <w:right w:val="single" w:sz="4" w:space="0" w:color="000000"/>
            </w:tcBorders>
          </w:tcPr>
          <w:p w14:paraId="291164D9" w14:textId="77777777" w:rsidR="00325422" w:rsidRPr="004D621E" w:rsidRDefault="00B06052" w:rsidP="004D621E">
            <w:pPr>
              <w:spacing w:line="276" w:lineRule="auto"/>
              <w:rPr>
                <w:lang w:val="en-GB"/>
              </w:rPr>
            </w:pPr>
            <w:r w:rsidRPr="004D621E">
              <w:rPr>
                <w:lang w:val="en-GB"/>
              </w:rPr>
              <w:t>Period when the course is offered</w:t>
            </w:r>
            <w:r w:rsidR="00325422" w:rsidRPr="004D621E">
              <w:rPr>
                <w:lang w:val="en-GB"/>
              </w:rPr>
              <w:t xml:space="preserve"> </w:t>
            </w:r>
          </w:p>
        </w:tc>
        <w:tc>
          <w:tcPr>
            <w:tcW w:w="6339" w:type="dxa"/>
            <w:tcBorders>
              <w:top w:val="single" w:sz="4" w:space="0" w:color="000000"/>
              <w:left w:val="single" w:sz="4" w:space="0" w:color="000000"/>
              <w:bottom w:val="single" w:sz="4" w:space="0" w:color="000000"/>
              <w:right w:val="single" w:sz="4" w:space="0" w:color="000000"/>
            </w:tcBorders>
          </w:tcPr>
          <w:p w14:paraId="1B569FB7" w14:textId="77777777" w:rsidR="006F1E61" w:rsidRDefault="000B4BE1">
            <w:pPr>
              <w:keepLines/>
              <w:spacing w:after="40" w:line="259" w:lineRule="auto"/>
            </w:pPr>
            <w:r>
              <w:rPr>
                <w:rFonts w:ascii="Arial" w:eastAsia="Arial" w:hAnsi="Arial" w:cs="Arial"/>
                <w:sz w:val="18"/>
                <w:szCs w:val="18"/>
                <w:lang w:val="en-GB"/>
              </w:rPr>
              <w:t>Winter semester, academic year 2026/2027</w:t>
            </w:r>
          </w:p>
        </w:tc>
      </w:tr>
      <w:tr w:rsidR="00325422" w:rsidRPr="004D621E" w14:paraId="128A88D8"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7D8D2B94" w14:textId="77777777" w:rsidR="00325422" w:rsidRPr="004D621E" w:rsidRDefault="00B06052" w:rsidP="004D621E">
            <w:pPr>
              <w:spacing w:line="276" w:lineRule="auto"/>
            </w:pPr>
            <w:proofErr w:type="spellStart"/>
            <w:r w:rsidRPr="004D621E">
              <w:t>Short</w:t>
            </w:r>
            <w:proofErr w:type="spellEnd"/>
            <w:r w:rsidRPr="004D621E">
              <w:t xml:space="preserve"> </w:t>
            </w:r>
            <w:proofErr w:type="spellStart"/>
            <w:r w:rsidRPr="004D621E">
              <w:t>description</w:t>
            </w:r>
            <w:proofErr w:type="spellEnd"/>
          </w:p>
        </w:tc>
        <w:tc>
          <w:tcPr>
            <w:tcW w:w="6339" w:type="dxa"/>
            <w:tcBorders>
              <w:top w:val="single" w:sz="4" w:space="0" w:color="000000"/>
              <w:left w:val="single" w:sz="4" w:space="0" w:color="000000"/>
              <w:bottom w:val="single" w:sz="4" w:space="0" w:color="000000"/>
              <w:right w:val="single" w:sz="4" w:space="0" w:color="000000"/>
            </w:tcBorders>
          </w:tcPr>
          <w:p w14:paraId="2BCDD5A9" w14:textId="77777777" w:rsidR="006F1E61" w:rsidRDefault="000B4BE1">
            <w:pPr>
              <w:keepLines/>
              <w:spacing w:after="40" w:line="259" w:lineRule="auto"/>
              <w:rPr>
                <w:sz w:val="16"/>
                <w:szCs w:val="16"/>
              </w:rPr>
            </w:pPr>
            <w:r>
              <w:rPr>
                <w:rFonts w:ascii="Arial" w:eastAsia="Arial" w:hAnsi="Arial" w:cs="Arial"/>
                <w:sz w:val="18"/>
                <w:szCs w:val="18"/>
                <w:lang w:val="en-GB"/>
              </w:rPr>
              <w:t>The aim of this course is to familiarize students with the legal regulations of digital finance and the resulting legal structures at the European Union and Polish levels. The course is practical in nature.</w:t>
            </w:r>
          </w:p>
        </w:tc>
      </w:tr>
      <w:tr w:rsidR="00325422" w:rsidRPr="004D621E" w14:paraId="0FFE542D"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67B06EC7" w14:textId="77777777" w:rsidR="00325422" w:rsidRPr="004D621E" w:rsidRDefault="00B06052" w:rsidP="004D621E">
            <w:pPr>
              <w:spacing w:line="276" w:lineRule="auto"/>
            </w:pPr>
            <w:proofErr w:type="spellStart"/>
            <w:r w:rsidRPr="004D621E">
              <w:t>Type</w:t>
            </w:r>
            <w:proofErr w:type="spellEnd"/>
            <w:r w:rsidRPr="004D621E">
              <w:t xml:space="preserve"> of </w:t>
            </w:r>
            <w:proofErr w:type="spellStart"/>
            <w:r w:rsidRPr="004D621E">
              <w:t>course</w:t>
            </w:r>
            <w:proofErr w:type="spellEnd"/>
            <w:r w:rsidRPr="004D621E">
              <w:t>:</w:t>
            </w:r>
          </w:p>
        </w:tc>
        <w:tc>
          <w:tcPr>
            <w:tcW w:w="6339" w:type="dxa"/>
            <w:tcBorders>
              <w:top w:val="single" w:sz="4" w:space="0" w:color="000000"/>
              <w:left w:val="single" w:sz="4" w:space="0" w:color="000000"/>
              <w:bottom w:val="single" w:sz="4" w:space="0" w:color="000000"/>
              <w:right w:val="single" w:sz="4" w:space="0" w:color="000000"/>
            </w:tcBorders>
          </w:tcPr>
          <w:p w14:paraId="7696BDDA" w14:textId="77777777" w:rsidR="006F1E61" w:rsidRDefault="000B4BE1">
            <w:pPr>
              <w:keepLines/>
              <w:spacing w:after="40" w:line="259" w:lineRule="auto"/>
            </w:pPr>
            <w:r>
              <w:rPr>
                <w:rFonts w:ascii="Arial" w:eastAsia="Arial" w:hAnsi="Arial" w:cs="Arial"/>
                <w:sz w:val="18"/>
                <w:szCs w:val="18"/>
                <w:lang w:val="en-GB"/>
              </w:rPr>
              <w:t xml:space="preserve">Seminar (30 teaching </w:t>
            </w:r>
            <w:r>
              <w:rPr>
                <w:rFonts w:ascii="Arial" w:eastAsia="Arial" w:hAnsi="Arial" w:cs="Arial"/>
                <w:sz w:val="18"/>
                <w:szCs w:val="18"/>
                <w:lang w:val="en-GB"/>
              </w:rPr>
              <w:t>hours)</w:t>
            </w:r>
          </w:p>
        </w:tc>
      </w:tr>
      <w:tr w:rsidR="00325422" w:rsidRPr="004D621E" w14:paraId="46EFAD5B" w14:textId="77777777" w:rsidTr="00662E4B">
        <w:trPr>
          <w:trHeight w:val="218"/>
        </w:trPr>
        <w:tc>
          <w:tcPr>
            <w:tcW w:w="3118" w:type="dxa"/>
            <w:gridSpan w:val="2"/>
            <w:tcBorders>
              <w:top w:val="single" w:sz="4" w:space="0" w:color="000000"/>
              <w:left w:val="single" w:sz="4" w:space="0" w:color="000000"/>
              <w:bottom w:val="single" w:sz="4" w:space="0" w:color="000000"/>
              <w:right w:val="single" w:sz="4" w:space="0" w:color="000000"/>
            </w:tcBorders>
          </w:tcPr>
          <w:p w14:paraId="2AEFFF1E" w14:textId="77777777" w:rsidR="00325422" w:rsidRPr="004D621E" w:rsidRDefault="00B06052" w:rsidP="004D621E">
            <w:pPr>
              <w:spacing w:line="276" w:lineRule="auto"/>
            </w:pPr>
            <w:r w:rsidRPr="004D621E">
              <w:t xml:space="preserve">Full </w:t>
            </w:r>
            <w:proofErr w:type="spellStart"/>
            <w:r w:rsidRPr="004D621E">
              <w:t>description</w:t>
            </w:r>
            <w:proofErr w:type="spellEnd"/>
          </w:p>
        </w:tc>
        <w:tc>
          <w:tcPr>
            <w:tcW w:w="6339" w:type="dxa"/>
            <w:tcBorders>
              <w:top w:val="single" w:sz="4" w:space="0" w:color="000000"/>
              <w:left w:val="single" w:sz="4" w:space="0" w:color="000000"/>
              <w:bottom w:val="single" w:sz="4" w:space="0" w:color="000000"/>
              <w:right w:val="single" w:sz="4" w:space="0" w:color="000000"/>
            </w:tcBorders>
          </w:tcPr>
          <w:tbl>
            <w:tblPr>
              <w:tblStyle w:val="TableNormal"/>
              <w:tblW w:w="611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4A0" w:firstRow="1" w:lastRow="0" w:firstColumn="1" w:lastColumn="0" w:noHBand="0" w:noVBand="1"/>
            </w:tblPr>
            <w:tblGrid>
              <w:gridCol w:w="6118"/>
            </w:tblGrid>
            <w:tr w:rsidR="006F1E61" w14:paraId="5BEC36B7" w14:textId="77777777">
              <w:trPr>
                <w:cantSplit/>
              </w:trPr>
              <w:tc>
                <w:tcPr>
                  <w:tcW w:w="6118" w:type="dxa"/>
                </w:tcPr>
                <w:p w14:paraId="541AE149" w14:textId="77777777" w:rsidR="006F1E61" w:rsidRDefault="000B4BE1">
                  <w:pPr>
                    <w:keepNext/>
                    <w:keepLines/>
                    <w:spacing w:after="80"/>
                    <w:rPr>
                      <w:sz w:val="16"/>
                      <w:szCs w:val="16"/>
                    </w:rPr>
                  </w:pPr>
                  <w:r>
                    <w:rPr>
                      <w:rFonts w:ascii="Arial" w:eastAsia="Arial" w:hAnsi="Arial" w:cs="Arial"/>
                      <w:sz w:val="18"/>
                      <w:szCs w:val="18"/>
                      <w:lang w:val="en-GB"/>
                    </w:rPr>
                    <w:t>The seminar covers the following topics:</w:t>
                  </w:r>
                </w:p>
                <w:p w14:paraId="2641A0FC" w14:textId="77777777" w:rsidR="006F1E61" w:rsidRDefault="000B4BE1">
                  <w:pPr>
                    <w:keepNext/>
                    <w:keepLines/>
                    <w:numPr>
                      <w:ilvl w:val="0"/>
                      <w:numId w:val="27"/>
                    </w:numPr>
                    <w:spacing w:before="80" w:after="40"/>
                    <w:ind w:left="238" w:hanging="238"/>
                    <w:rPr>
                      <w:sz w:val="16"/>
                      <w:szCs w:val="16"/>
                    </w:rPr>
                  </w:pPr>
                  <w:r>
                    <w:rPr>
                      <w:rFonts w:ascii="Arial" w:eastAsia="Arial" w:hAnsi="Arial" w:cs="Arial"/>
                      <w:b/>
                      <w:sz w:val="18"/>
                      <w:szCs w:val="18"/>
                      <w:lang w:val="en-GB"/>
                    </w:rPr>
                    <w:t>Basic concepts of digital finance law and an outline of legal regulations</w:t>
                  </w:r>
                </w:p>
                <w:p w14:paraId="3EC9B9DD"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placement in the legal system</w:t>
                  </w:r>
                </w:p>
              </w:tc>
            </w:tr>
            <w:tr w:rsidR="006F1E61" w14:paraId="4DA98D01" w14:textId="77777777">
              <w:trPr>
                <w:cantSplit/>
              </w:trPr>
              <w:tc>
                <w:tcPr>
                  <w:tcW w:w="6118" w:type="dxa"/>
                </w:tcPr>
                <w:p w14:paraId="0FFBE5BF"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cash, accounting money, electronic money, digital currencies</w:t>
                  </w:r>
                </w:p>
              </w:tc>
            </w:tr>
            <w:tr w:rsidR="006F1E61" w14:paraId="36B8B50E" w14:textId="77777777">
              <w:trPr>
                <w:cantSplit/>
              </w:trPr>
              <w:tc>
                <w:tcPr>
                  <w:tcW w:w="6118" w:type="dxa"/>
                </w:tcPr>
                <w:p w14:paraId="7C93372D"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payment systems</w:t>
                  </w:r>
                </w:p>
              </w:tc>
            </w:tr>
            <w:tr w:rsidR="006F1E61" w14:paraId="06906404" w14:textId="77777777">
              <w:trPr>
                <w:cantSplit/>
              </w:trPr>
              <w:tc>
                <w:tcPr>
                  <w:tcW w:w="6118" w:type="dxa"/>
                </w:tcPr>
                <w:p w14:paraId="6706AFBA"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general outline of legal regulations - PSD3, PSR, FIDA, AMLR, IPR, MICA, DORA, ECSP, FATF</w:t>
                  </w:r>
                </w:p>
              </w:tc>
            </w:tr>
            <w:tr w:rsidR="006F1E61" w14:paraId="45855BE0" w14:textId="77777777">
              <w:trPr>
                <w:cantSplit/>
              </w:trPr>
              <w:tc>
                <w:tcPr>
                  <w:tcW w:w="6118" w:type="dxa"/>
                </w:tcPr>
                <w:p w14:paraId="6C59A114"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recommendations and recommendations of supervisory authorities - EBA, KNF, GIIF</w:t>
                  </w:r>
                </w:p>
              </w:tc>
            </w:tr>
            <w:tr w:rsidR="006F1E61" w14:paraId="174221BE" w14:textId="77777777">
              <w:trPr>
                <w:cantSplit/>
              </w:trPr>
              <w:tc>
                <w:tcPr>
                  <w:tcW w:w="6118" w:type="dxa"/>
                </w:tcPr>
                <w:p w14:paraId="28227186" w14:textId="77777777" w:rsidR="006F1E61" w:rsidRDefault="000B4BE1">
                  <w:pPr>
                    <w:keepNext/>
                    <w:keepLines/>
                    <w:numPr>
                      <w:ilvl w:val="0"/>
                      <w:numId w:val="27"/>
                    </w:numPr>
                    <w:spacing w:before="80" w:after="40"/>
                    <w:ind w:left="238" w:hanging="238"/>
                    <w:rPr>
                      <w:sz w:val="16"/>
                      <w:szCs w:val="16"/>
                    </w:rPr>
                  </w:pPr>
                  <w:r>
                    <w:rPr>
                      <w:rFonts w:ascii="Arial" w:eastAsia="Arial" w:hAnsi="Arial" w:cs="Arial"/>
                      <w:b/>
                      <w:sz w:val="18"/>
                      <w:szCs w:val="18"/>
                      <w:lang w:val="en-GB"/>
                    </w:rPr>
                    <w:t>Payme</w:t>
                  </w:r>
                  <w:r>
                    <w:rPr>
                      <w:rFonts w:ascii="Arial" w:eastAsia="Arial" w:hAnsi="Arial" w:cs="Arial"/>
                      <w:b/>
                      <w:sz w:val="18"/>
                      <w:szCs w:val="18"/>
                      <w:lang w:val="en-GB"/>
                    </w:rPr>
                    <w:t>nt services law - public law issues</w:t>
                  </w:r>
                </w:p>
                <w:p w14:paraId="4C69F0A7"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types of payment service providers</w:t>
                  </w:r>
                </w:p>
              </w:tc>
            </w:tr>
            <w:tr w:rsidR="006F1E61" w14:paraId="4D249FCC" w14:textId="77777777">
              <w:trPr>
                <w:cantSplit/>
              </w:trPr>
              <w:tc>
                <w:tcPr>
                  <w:tcW w:w="6118" w:type="dxa"/>
                </w:tcPr>
                <w:p w14:paraId="5F153F27"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licensing of payment service providers</w:t>
                  </w:r>
                </w:p>
              </w:tc>
            </w:tr>
            <w:tr w:rsidR="006F1E61" w14:paraId="27A995B4" w14:textId="77777777">
              <w:trPr>
                <w:cantSplit/>
              </w:trPr>
              <w:tc>
                <w:tcPr>
                  <w:tcW w:w="6118" w:type="dxa"/>
                </w:tcPr>
                <w:p w14:paraId="11132CC7"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passporting of services by payment service providers - the principle of a single license</w:t>
                  </w:r>
                </w:p>
              </w:tc>
            </w:tr>
            <w:tr w:rsidR="006F1E61" w14:paraId="5EDEE877" w14:textId="77777777">
              <w:trPr>
                <w:cantSplit/>
              </w:trPr>
              <w:tc>
                <w:tcPr>
                  <w:tcW w:w="6118" w:type="dxa"/>
                </w:tcPr>
                <w:p w14:paraId="2FE0D1D7"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supervision by EBA, KNF, GIIF, NBP</w:t>
                  </w:r>
                </w:p>
              </w:tc>
            </w:tr>
            <w:tr w:rsidR="006F1E61" w14:paraId="03BD4980" w14:textId="77777777">
              <w:trPr>
                <w:cantSplit/>
              </w:trPr>
              <w:tc>
                <w:tcPr>
                  <w:tcW w:w="6118" w:type="dxa"/>
                </w:tcPr>
                <w:p w14:paraId="28890263" w14:textId="77777777" w:rsidR="006F1E61" w:rsidRDefault="000B4BE1">
                  <w:pPr>
                    <w:keepNext/>
                    <w:keepLines/>
                    <w:numPr>
                      <w:ilvl w:val="0"/>
                      <w:numId w:val="27"/>
                    </w:numPr>
                    <w:spacing w:before="80" w:after="40"/>
                    <w:ind w:left="238" w:hanging="238"/>
                    <w:rPr>
                      <w:sz w:val="16"/>
                      <w:szCs w:val="16"/>
                    </w:rPr>
                  </w:pPr>
                  <w:r>
                    <w:rPr>
                      <w:rFonts w:ascii="Arial" w:eastAsia="Arial" w:hAnsi="Arial" w:cs="Arial"/>
                      <w:b/>
                      <w:sz w:val="18"/>
                      <w:szCs w:val="18"/>
                      <w:lang w:val="en-GB"/>
                    </w:rPr>
                    <w:t>Payment services law - private law issues</w:t>
                  </w:r>
                </w:p>
                <w:p w14:paraId="2B2D4BAF"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types of payment services - transfer, money order, direct debit, payment by card, issuing and acquiring, payment initiation services and access to account information</w:t>
                  </w:r>
                </w:p>
              </w:tc>
            </w:tr>
            <w:tr w:rsidR="006F1E61" w14:paraId="57AD4B1C" w14:textId="77777777">
              <w:trPr>
                <w:cantSplit/>
              </w:trPr>
              <w:tc>
                <w:tcPr>
                  <w:tcW w:w="6118" w:type="dxa"/>
                </w:tcPr>
                <w:p w14:paraId="0FB96D93"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the concept of a payment account and its legal implications</w:t>
                  </w:r>
                </w:p>
              </w:tc>
            </w:tr>
            <w:tr w:rsidR="006F1E61" w14:paraId="37892054" w14:textId="77777777">
              <w:trPr>
                <w:cantSplit/>
              </w:trPr>
              <w:tc>
                <w:tcPr>
                  <w:tcW w:w="6118" w:type="dxa"/>
                </w:tcPr>
                <w:p w14:paraId="2E275F8B"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 xml:space="preserve">Payment Services Agreement </w:t>
                  </w:r>
                  <w:r>
                    <w:rPr>
                      <w:rFonts w:ascii="Arial" w:eastAsia="Arial" w:hAnsi="Arial" w:cs="Arial"/>
                      <w:sz w:val="18"/>
                      <w:szCs w:val="18"/>
                      <w:lang w:val="en-GB"/>
                    </w:rPr>
                    <w:t>- Regulations and Types</w:t>
                  </w:r>
                </w:p>
              </w:tc>
            </w:tr>
            <w:tr w:rsidR="006F1E61" w14:paraId="6EB2E237" w14:textId="77777777">
              <w:trPr>
                <w:cantSplit/>
              </w:trPr>
              <w:tc>
                <w:tcPr>
                  <w:tcW w:w="6118" w:type="dxa"/>
                </w:tcPr>
                <w:p w14:paraId="22A9FF46"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Liability for executing payment transactions</w:t>
                  </w:r>
                </w:p>
              </w:tc>
            </w:tr>
            <w:tr w:rsidR="006F1E61" w14:paraId="2F503739" w14:textId="77777777">
              <w:trPr>
                <w:cantSplit/>
              </w:trPr>
              <w:tc>
                <w:tcPr>
                  <w:tcW w:w="6118" w:type="dxa"/>
                </w:tcPr>
                <w:p w14:paraId="5F9D4440"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Liability for unauthorized transactions, ECJ case law</w:t>
                  </w:r>
                </w:p>
              </w:tc>
            </w:tr>
            <w:tr w:rsidR="006F1E61" w14:paraId="23D0BE1F" w14:textId="77777777">
              <w:trPr>
                <w:cantSplit/>
              </w:trPr>
              <w:tc>
                <w:tcPr>
                  <w:tcW w:w="6118" w:type="dxa"/>
                </w:tcPr>
                <w:p w14:paraId="336355BB" w14:textId="77777777" w:rsidR="006F1E61" w:rsidRDefault="000B4BE1">
                  <w:pPr>
                    <w:keepNext/>
                    <w:keepLines/>
                    <w:numPr>
                      <w:ilvl w:val="0"/>
                      <w:numId w:val="27"/>
                    </w:numPr>
                    <w:spacing w:before="80" w:after="40"/>
                    <w:ind w:left="238" w:hanging="238"/>
                    <w:rPr>
                      <w:sz w:val="16"/>
                      <w:szCs w:val="16"/>
                    </w:rPr>
                  </w:pPr>
                  <w:r>
                    <w:rPr>
                      <w:rFonts w:ascii="Arial" w:eastAsia="Arial" w:hAnsi="Arial" w:cs="Arial"/>
                      <w:b/>
                      <w:sz w:val="18"/>
                      <w:szCs w:val="18"/>
                      <w:lang w:val="en-GB"/>
                    </w:rPr>
                    <w:t>Anti-money laundering and terrorism financing law</w:t>
                  </w:r>
                </w:p>
                <w:p w14:paraId="04DCC07A"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Basic legal regulations: FATF, Wolfsberg, AMLD, AMLR, Polish Anti-Money Launderi</w:t>
                  </w:r>
                  <w:r>
                    <w:rPr>
                      <w:rFonts w:ascii="Arial" w:eastAsia="Arial" w:hAnsi="Arial" w:cs="Arial"/>
                      <w:sz w:val="18"/>
                      <w:szCs w:val="18"/>
                      <w:lang w:val="en-GB"/>
                    </w:rPr>
                    <w:t>ng Act</w:t>
                  </w:r>
                </w:p>
              </w:tc>
            </w:tr>
            <w:tr w:rsidR="006F1E61" w14:paraId="03186EA9" w14:textId="77777777">
              <w:trPr>
                <w:cantSplit/>
              </w:trPr>
              <w:tc>
                <w:tcPr>
                  <w:tcW w:w="6118" w:type="dxa"/>
                </w:tcPr>
                <w:p w14:paraId="1A1A6EC6"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Obligated institution - legal implications</w:t>
                  </w:r>
                </w:p>
              </w:tc>
            </w:tr>
            <w:tr w:rsidR="006F1E61" w14:paraId="2646C8B0" w14:textId="77777777">
              <w:trPr>
                <w:cantSplit/>
              </w:trPr>
              <w:tc>
                <w:tcPr>
                  <w:tcW w:w="6118" w:type="dxa"/>
                </w:tcPr>
                <w:p w14:paraId="5B59FCDE"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Applying financial security measures and reporting suspicious transactions</w:t>
                  </w:r>
                </w:p>
              </w:tc>
            </w:tr>
            <w:tr w:rsidR="006F1E61" w14:paraId="4FBCDC40" w14:textId="77777777">
              <w:trPr>
                <w:cantSplit/>
              </w:trPr>
              <w:tc>
                <w:tcPr>
                  <w:tcW w:w="6118" w:type="dxa"/>
                </w:tcPr>
                <w:p w14:paraId="048DD1F8"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Outsourcing and entrusting the implementation of financial security measures</w:t>
                  </w:r>
                </w:p>
              </w:tc>
            </w:tr>
            <w:tr w:rsidR="006F1E61" w14:paraId="787501B3" w14:textId="77777777">
              <w:trPr>
                <w:cantSplit/>
              </w:trPr>
              <w:tc>
                <w:tcPr>
                  <w:tcW w:w="6118" w:type="dxa"/>
                </w:tcPr>
                <w:p w14:paraId="1B5A7631"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GIIF supervision and sanctions</w:t>
                  </w:r>
                </w:p>
              </w:tc>
            </w:tr>
            <w:tr w:rsidR="006F1E61" w14:paraId="53686416" w14:textId="77777777">
              <w:trPr>
                <w:cantSplit/>
              </w:trPr>
              <w:tc>
                <w:tcPr>
                  <w:tcW w:w="6118" w:type="dxa"/>
                </w:tcPr>
                <w:p w14:paraId="3BCF304E" w14:textId="77777777" w:rsidR="006F1E61" w:rsidRDefault="000B4BE1">
                  <w:pPr>
                    <w:keepNext/>
                    <w:keepLines/>
                    <w:numPr>
                      <w:ilvl w:val="0"/>
                      <w:numId w:val="27"/>
                    </w:numPr>
                    <w:spacing w:before="80" w:after="40"/>
                    <w:ind w:left="238" w:hanging="238"/>
                    <w:rPr>
                      <w:sz w:val="16"/>
                      <w:szCs w:val="16"/>
                    </w:rPr>
                  </w:pPr>
                  <w:r>
                    <w:rPr>
                      <w:rFonts w:ascii="Arial" w:eastAsia="Arial" w:hAnsi="Arial" w:cs="Arial"/>
                      <w:b/>
                      <w:sz w:val="18"/>
                      <w:szCs w:val="18"/>
                      <w:lang w:val="en-GB"/>
                    </w:rPr>
                    <w:lastRenderedPageBreak/>
                    <w:t>DORA and financial services outsourcing</w:t>
                  </w:r>
                </w:p>
                <w:p w14:paraId="167CF8FB"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Principles of applying outsourcing of financial services</w:t>
                  </w:r>
                </w:p>
              </w:tc>
            </w:tr>
            <w:tr w:rsidR="006F1E61" w14:paraId="0463433D" w14:textId="77777777">
              <w:trPr>
                <w:cantSplit/>
              </w:trPr>
              <w:tc>
                <w:tcPr>
                  <w:tcW w:w="6118" w:type="dxa"/>
                </w:tcPr>
                <w:p w14:paraId="66D494F4"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Obligations of the outsourcer and insourcer</w:t>
                  </w:r>
                </w:p>
              </w:tc>
            </w:tr>
            <w:tr w:rsidR="006F1E61" w14:paraId="67FA6E29" w14:textId="77777777">
              <w:trPr>
                <w:cantSplit/>
              </w:trPr>
              <w:tc>
                <w:tcPr>
                  <w:tcW w:w="6118" w:type="dxa"/>
                </w:tcPr>
                <w:p w14:paraId="6F173288"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Out</w:t>
                  </w:r>
                  <w:r>
                    <w:rPr>
                      <w:rFonts w:ascii="Arial" w:eastAsia="Arial" w:hAnsi="Arial" w:cs="Arial"/>
                      <w:sz w:val="18"/>
                      <w:szCs w:val="18"/>
                      <w:lang w:val="en-GB"/>
                    </w:rPr>
                    <w:t>sourcing Agreement Requirements</w:t>
                  </w:r>
                </w:p>
              </w:tc>
            </w:tr>
            <w:tr w:rsidR="006F1E61" w14:paraId="491D89BE" w14:textId="77777777">
              <w:trPr>
                <w:cantSplit/>
              </w:trPr>
              <w:tc>
                <w:tcPr>
                  <w:tcW w:w="6118" w:type="dxa"/>
                </w:tcPr>
                <w:p w14:paraId="0D610452" w14:textId="77777777" w:rsidR="006F1E61" w:rsidRDefault="000B4BE1">
                  <w:pPr>
                    <w:keepNext/>
                    <w:keepLines/>
                    <w:numPr>
                      <w:ilvl w:val="0"/>
                      <w:numId w:val="27"/>
                    </w:numPr>
                    <w:spacing w:before="80" w:after="40"/>
                    <w:ind w:left="238" w:hanging="238"/>
                    <w:rPr>
                      <w:sz w:val="16"/>
                      <w:szCs w:val="16"/>
                    </w:rPr>
                  </w:pPr>
                  <w:r>
                    <w:rPr>
                      <w:rFonts w:ascii="Arial" w:eastAsia="Arial" w:hAnsi="Arial" w:cs="Arial"/>
                      <w:b/>
                      <w:sz w:val="18"/>
                      <w:szCs w:val="18"/>
                      <w:lang w:val="en-GB"/>
                    </w:rPr>
                    <w:t>Regulation of Cryptoassets (MICA) and Crowdfunding - ECSP</w:t>
                  </w:r>
                </w:p>
                <w:p w14:paraId="5DEF8711"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Types of cryptoassets</w:t>
                  </w:r>
                </w:p>
              </w:tc>
            </w:tr>
            <w:tr w:rsidR="006F1E61" w14:paraId="0722BCF0" w14:textId="77777777">
              <w:trPr>
                <w:cantSplit/>
              </w:trPr>
              <w:tc>
                <w:tcPr>
                  <w:tcW w:w="6118" w:type="dxa"/>
                </w:tcPr>
                <w:p w14:paraId="0D3A0D73"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Supervision of entities operating in the field of cryptoassets</w:t>
                  </w:r>
                </w:p>
              </w:tc>
            </w:tr>
            <w:tr w:rsidR="006F1E61" w14:paraId="37ABCEBC" w14:textId="77777777">
              <w:trPr>
                <w:cantSplit/>
              </w:trPr>
              <w:tc>
                <w:tcPr>
                  <w:tcW w:w="6118" w:type="dxa"/>
                </w:tcPr>
                <w:p w14:paraId="5AB6F397"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crowdfunding rules</w:t>
                  </w:r>
                </w:p>
              </w:tc>
            </w:tr>
            <w:tr w:rsidR="006F1E61" w14:paraId="576F975B" w14:textId="77777777">
              <w:trPr>
                <w:cantSplit/>
              </w:trPr>
              <w:tc>
                <w:tcPr>
                  <w:tcW w:w="6118" w:type="dxa"/>
                </w:tcPr>
                <w:p w14:paraId="5526C4D5" w14:textId="77777777" w:rsidR="006F1E61" w:rsidRDefault="000B4BE1">
                  <w:pPr>
                    <w:keepNext/>
                    <w:keepLines/>
                    <w:numPr>
                      <w:ilvl w:val="0"/>
                      <w:numId w:val="27"/>
                    </w:numPr>
                    <w:spacing w:before="80" w:after="40"/>
                    <w:ind w:left="238" w:hanging="238"/>
                    <w:rPr>
                      <w:sz w:val="16"/>
                      <w:szCs w:val="16"/>
                    </w:rPr>
                  </w:pPr>
                  <w:r>
                    <w:rPr>
                      <w:rFonts w:ascii="Arial" w:eastAsia="Arial" w:hAnsi="Arial" w:cs="Arial"/>
                      <w:b/>
                      <w:sz w:val="18"/>
                      <w:szCs w:val="18"/>
                      <w:lang w:val="en-GB"/>
                    </w:rPr>
                    <w:t>Banking as a Service (BaaS)</w:t>
                  </w:r>
                </w:p>
                <w:p w14:paraId="4B5A049B"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The concept of BaaS, embedded finance, basic legal regulations</w:t>
                  </w:r>
                </w:p>
              </w:tc>
            </w:tr>
            <w:tr w:rsidR="006F1E61" w14:paraId="181A7884" w14:textId="77777777">
              <w:trPr>
                <w:cantSplit/>
              </w:trPr>
              <w:tc>
                <w:tcPr>
                  <w:tcW w:w="6118" w:type="dxa"/>
                </w:tcPr>
                <w:p w14:paraId="6F0E7139"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requirements for entities providing BaaS services</w:t>
                  </w:r>
                </w:p>
              </w:tc>
            </w:tr>
            <w:tr w:rsidR="006F1E61" w14:paraId="4B7487A1" w14:textId="77777777">
              <w:trPr>
                <w:cantSplit/>
              </w:trPr>
              <w:tc>
                <w:tcPr>
                  <w:tcW w:w="6118" w:type="dxa"/>
                </w:tcPr>
                <w:p w14:paraId="4A8E2D81"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BaaS types: Model 1: payment services, savings accounts, investment services; Model 2: access to payment systems, "safeguarded" accounts, vir</w:t>
                  </w:r>
                  <w:r>
                    <w:rPr>
                      <w:rFonts w:ascii="Arial" w:eastAsia="Arial" w:hAnsi="Arial" w:cs="Arial"/>
                      <w:sz w:val="18"/>
                      <w:szCs w:val="18"/>
                      <w:lang w:val="en-GB"/>
                    </w:rPr>
                    <w:t>tual IBAN; Model 3: credit services - "fronting"; Model 4: receivables financing</w:t>
                  </w:r>
                </w:p>
              </w:tc>
            </w:tr>
            <w:tr w:rsidR="006F1E61" w14:paraId="7188934F" w14:textId="77777777">
              <w:trPr>
                <w:cantSplit/>
              </w:trPr>
              <w:tc>
                <w:tcPr>
                  <w:tcW w:w="6118" w:type="dxa"/>
                </w:tcPr>
                <w:p w14:paraId="5083F631" w14:textId="77777777" w:rsidR="006F1E61" w:rsidRDefault="000B4BE1">
                  <w:pPr>
                    <w:keepLines/>
                    <w:numPr>
                      <w:ilvl w:val="1"/>
                      <w:numId w:val="27"/>
                    </w:numPr>
                    <w:spacing w:after="40"/>
                    <w:ind w:left="454" w:hanging="181"/>
                    <w:rPr>
                      <w:sz w:val="16"/>
                      <w:szCs w:val="16"/>
                    </w:rPr>
                  </w:pPr>
                  <w:r>
                    <w:rPr>
                      <w:rFonts w:ascii="Arial" w:eastAsia="Arial" w:hAnsi="Arial" w:cs="Arial"/>
                      <w:sz w:val="18"/>
                      <w:szCs w:val="18"/>
                      <w:lang w:val="en-GB"/>
                    </w:rPr>
                    <w:t>opportunities and risks associated with BaaS</w:t>
                  </w:r>
                </w:p>
              </w:tc>
            </w:tr>
          </w:tbl>
          <w:p w14:paraId="1F8831EA" w14:textId="77777777" w:rsidR="006F1E61" w:rsidRDefault="006F1E61">
            <w:pPr>
              <w:spacing w:line="20" w:lineRule="exact"/>
            </w:pPr>
          </w:p>
        </w:tc>
      </w:tr>
      <w:tr w:rsidR="00325422" w:rsidRPr="004D621E" w14:paraId="1CAECE12" w14:textId="77777777" w:rsidTr="00662E4B">
        <w:trPr>
          <w:cantSplit/>
          <w:trHeight w:val="216"/>
        </w:trPr>
        <w:tc>
          <w:tcPr>
            <w:tcW w:w="1493" w:type="dxa"/>
            <w:vMerge w:val="restart"/>
            <w:tcBorders>
              <w:top w:val="single" w:sz="4" w:space="0" w:color="000000"/>
              <w:left w:val="single" w:sz="4" w:space="0" w:color="000000"/>
              <w:bottom w:val="single" w:sz="4" w:space="0" w:color="000000"/>
              <w:right w:val="single" w:sz="4" w:space="0" w:color="000000"/>
            </w:tcBorders>
          </w:tcPr>
          <w:p w14:paraId="73DA639B" w14:textId="77777777" w:rsidR="00325422" w:rsidRPr="004D621E" w:rsidRDefault="00B06052" w:rsidP="004D621E">
            <w:pPr>
              <w:spacing w:line="276" w:lineRule="auto"/>
            </w:pPr>
            <w:proofErr w:type="spellStart"/>
            <w:r w:rsidRPr="004D621E">
              <w:lastRenderedPageBreak/>
              <w:t>Prerequisites</w:t>
            </w:r>
            <w:proofErr w:type="spellEnd"/>
          </w:p>
        </w:tc>
        <w:tc>
          <w:tcPr>
            <w:tcW w:w="1625" w:type="dxa"/>
            <w:tcBorders>
              <w:top w:val="single" w:sz="4" w:space="0" w:color="000000"/>
              <w:left w:val="single" w:sz="4" w:space="0" w:color="000000"/>
              <w:bottom w:val="single" w:sz="4" w:space="0" w:color="000000"/>
              <w:right w:val="single" w:sz="4" w:space="0" w:color="000000"/>
            </w:tcBorders>
          </w:tcPr>
          <w:p w14:paraId="1C2C3290" w14:textId="77777777" w:rsidR="00325422" w:rsidRPr="004D621E" w:rsidRDefault="00B06052" w:rsidP="004D621E">
            <w:pPr>
              <w:spacing w:line="276" w:lineRule="auto"/>
              <w:ind w:left="2"/>
            </w:pPr>
            <w:proofErr w:type="spellStart"/>
            <w:r w:rsidRPr="004D621E">
              <w:t>Formal</w:t>
            </w:r>
            <w:proofErr w:type="spellEnd"/>
            <w:r w:rsidR="00325422" w:rsidRPr="004D621E">
              <w:t xml:space="preserve"> </w:t>
            </w:r>
          </w:p>
        </w:tc>
        <w:tc>
          <w:tcPr>
            <w:tcW w:w="6339" w:type="dxa"/>
            <w:tcBorders>
              <w:top w:val="single" w:sz="4" w:space="0" w:color="000000"/>
              <w:left w:val="single" w:sz="4" w:space="0" w:color="000000"/>
              <w:bottom w:val="single" w:sz="4" w:space="0" w:color="000000"/>
              <w:right w:val="single" w:sz="4" w:space="0" w:color="000000"/>
            </w:tcBorders>
          </w:tcPr>
          <w:p w14:paraId="669C7E86" w14:textId="77777777" w:rsidR="006F1E61" w:rsidRDefault="000B4BE1">
            <w:pPr>
              <w:keepLines/>
              <w:spacing w:after="40" w:line="259" w:lineRule="auto"/>
              <w:rPr>
                <w:sz w:val="16"/>
                <w:szCs w:val="16"/>
              </w:rPr>
            </w:pPr>
            <w:r>
              <w:rPr>
                <w:rFonts w:ascii="Arial" w:eastAsia="Arial" w:hAnsi="Arial" w:cs="Arial"/>
                <w:sz w:val="18"/>
                <w:szCs w:val="18"/>
                <w:lang w:val="en-GB"/>
              </w:rPr>
              <w:t>No</w:t>
            </w:r>
          </w:p>
        </w:tc>
      </w:tr>
      <w:tr w:rsidR="00325422" w:rsidRPr="004D621E" w14:paraId="74FBD2D9" w14:textId="77777777" w:rsidTr="00662E4B">
        <w:trPr>
          <w:cantSplit/>
          <w:trHeight w:val="216"/>
        </w:trPr>
        <w:tc>
          <w:tcPr>
            <w:tcW w:w="1493" w:type="dxa"/>
            <w:vMerge/>
            <w:tcBorders>
              <w:top w:val="nil"/>
              <w:left w:val="single" w:sz="4" w:space="0" w:color="000000"/>
              <w:bottom w:val="single" w:sz="4" w:space="0" w:color="000000"/>
              <w:right w:val="single" w:sz="4" w:space="0" w:color="000000"/>
            </w:tcBorders>
          </w:tcPr>
          <w:p w14:paraId="792457E3" w14:textId="77777777" w:rsidR="00325422" w:rsidRPr="004D621E" w:rsidRDefault="00325422" w:rsidP="004D621E">
            <w:pPr>
              <w:spacing w:after="160" w:line="276" w:lineRule="auto"/>
            </w:pPr>
          </w:p>
        </w:tc>
        <w:tc>
          <w:tcPr>
            <w:tcW w:w="1625" w:type="dxa"/>
            <w:tcBorders>
              <w:top w:val="single" w:sz="4" w:space="0" w:color="000000"/>
              <w:left w:val="single" w:sz="4" w:space="0" w:color="000000"/>
              <w:bottom w:val="single" w:sz="4" w:space="0" w:color="000000"/>
              <w:right w:val="single" w:sz="4" w:space="0" w:color="000000"/>
            </w:tcBorders>
          </w:tcPr>
          <w:p w14:paraId="024C8705" w14:textId="77777777" w:rsidR="00325422" w:rsidRPr="004D621E" w:rsidRDefault="00B06052" w:rsidP="004D621E">
            <w:pPr>
              <w:spacing w:line="276" w:lineRule="auto"/>
              <w:ind w:left="2"/>
            </w:pPr>
            <w:proofErr w:type="spellStart"/>
            <w:r w:rsidRPr="004D621E">
              <w:t>Initial</w:t>
            </w:r>
            <w:proofErr w:type="spellEnd"/>
            <w:r w:rsidR="00325422" w:rsidRPr="004D621E">
              <w:t xml:space="preserve"> </w:t>
            </w:r>
          </w:p>
        </w:tc>
        <w:tc>
          <w:tcPr>
            <w:tcW w:w="6339" w:type="dxa"/>
            <w:tcBorders>
              <w:top w:val="single" w:sz="4" w:space="0" w:color="000000"/>
              <w:left w:val="single" w:sz="4" w:space="0" w:color="000000"/>
              <w:bottom w:val="single" w:sz="4" w:space="0" w:color="000000"/>
              <w:right w:val="single" w:sz="4" w:space="0" w:color="000000"/>
            </w:tcBorders>
          </w:tcPr>
          <w:p w14:paraId="4CE47F7E" w14:textId="77777777" w:rsidR="006F1E61" w:rsidRDefault="000B4BE1">
            <w:pPr>
              <w:keepLines/>
              <w:spacing w:after="40" w:line="259" w:lineRule="auto"/>
              <w:rPr>
                <w:sz w:val="16"/>
                <w:szCs w:val="16"/>
              </w:rPr>
            </w:pPr>
            <w:r>
              <w:rPr>
                <w:rFonts w:ascii="Arial" w:eastAsia="Arial" w:hAnsi="Arial" w:cs="Arial"/>
                <w:sz w:val="18"/>
                <w:szCs w:val="18"/>
                <w:lang w:val="en-GB"/>
              </w:rPr>
              <w:t>Knowledge of finances and the basics of the functioning of the legal system in the European Union and Poland</w:t>
            </w:r>
          </w:p>
        </w:tc>
      </w:tr>
      <w:tr w:rsidR="00325422" w:rsidRPr="004D621E" w14:paraId="7326D4D1" w14:textId="77777777" w:rsidTr="00662E4B">
        <w:trPr>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7BD4CA03" w14:textId="77777777" w:rsidR="00325422" w:rsidRPr="004D621E" w:rsidRDefault="00B06052" w:rsidP="004D621E">
            <w:pPr>
              <w:spacing w:line="276" w:lineRule="auto"/>
            </w:pPr>
            <w:r w:rsidRPr="004D621E">
              <w:t xml:space="preserve">Learning </w:t>
            </w:r>
            <w:proofErr w:type="spellStart"/>
            <w:r w:rsidRPr="004D621E">
              <w:t>outcomes</w:t>
            </w:r>
            <w:proofErr w:type="spellEnd"/>
          </w:p>
        </w:tc>
        <w:tc>
          <w:tcPr>
            <w:tcW w:w="6339" w:type="dxa"/>
            <w:tcBorders>
              <w:top w:val="single" w:sz="4" w:space="0" w:color="000000"/>
              <w:left w:val="single" w:sz="4" w:space="0" w:color="000000"/>
              <w:bottom w:val="single" w:sz="4" w:space="0" w:color="000000"/>
              <w:right w:val="single" w:sz="4" w:space="0" w:color="000000"/>
            </w:tcBorders>
          </w:tcPr>
          <w:tbl>
            <w:tblPr>
              <w:tblStyle w:val="TableNormal"/>
              <w:tblW w:w="611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4A0" w:firstRow="1" w:lastRow="0" w:firstColumn="1" w:lastColumn="0" w:noHBand="0" w:noVBand="1"/>
            </w:tblPr>
            <w:tblGrid>
              <w:gridCol w:w="6118"/>
            </w:tblGrid>
            <w:tr w:rsidR="006F1E61" w14:paraId="750E0956" w14:textId="77777777">
              <w:trPr>
                <w:cantSplit/>
              </w:trPr>
              <w:tc>
                <w:tcPr>
                  <w:tcW w:w="6118" w:type="dxa"/>
                </w:tcPr>
                <w:p w14:paraId="2D56C69C" w14:textId="77777777" w:rsidR="006F1E61" w:rsidRDefault="000B4BE1">
                  <w:pPr>
                    <w:keepLines/>
                    <w:spacing w:after="40"/>
                    <w:rPr>
                      <w:sz w:val="16"/>
                      <w:szCs w:val="16"/>
                    </w:rPr>
                  </w:pPr>
                  <w:r>
                    <w:rPr>
                      <w:rFonts w:ascii="Arial" w:eastAsia="Arial" w:hAnsi="Arial" w:cs="Arial"/>
                      <w:sz w:val="18"/>
                      <w:szCs w:val="18"/>
                      <w:lang w:val="en-GB"/>
                    </w:rPr>
                    <w:t>Student after completing the course:</w:t>
                  </w:r>
                </w:p>
              </w:tc>
            </w:tr>
            <w:tr w:rsidR="006F1E61" w14:paraId="5B16C98C" w14:textId="77777777">
              <w:trPr>
                <w:cantSplit/>
              </w:trPr>
              <w:tc>
                <w:tcPr>
                  <w:tcW w:w="6118" w:type="dxa"/>
                </w:tcPr>
                <w:p w14:paraId="36893110" w14:textId="77777777" w:rsidR="006F1E61" w:rsidRDefault="000B4BE1">
                  <w:pPr>
                    <w:keepNext/>
                    <w:keepLines/>
                    <w:spacing w:before="60" w:after="40"/>
                    <w:rPr>
                      <w:sz w:val="16"/>
                      <w:szCs w:val="16"/>
                    </w:rPr>
                  </w:pPr>
                  <w:r>
                    <w:rPr>
                      <w:rFonts w:ascii="Arial" w:eastAsia="Arial" w:hAnsi="Arial" w:cs="Arial"/>
                      <w:b/>
                      <w:sz w:val="18"/>
                      <w:szCs w:val="18"/>
                      <w:lang w:val="en-GB"/>
                    </w:rPr>
                    <w:t>In terms of knowledge:</w:t>
                  </w:r>
                </w:p>
                <w:p w14:paraId="482C005D" w14:textId="77777777" w:rsidR="006F1E61" w:rsidRDefault="000B4BE1">
                  <w:pPr>
                    <w:keepLines/>
                    <w:numPr>
                      <w:ilvl w:val="0"/>
                      <w:numId w:val="14"/>
                    </w:numPr>
                    <w:spacing w:after="40"/>
                    <w:ind w:left="227" w:hanging="181"/>
                    <w:rPr>
                      <w:sz w:val="16"/>
                      <w:szCs w:val="16"/>
                    </w:rPr>
                  </w:pPr>
                  <w:r>
                    <w:rPr>
                      <w:rFonts w:ascii="Arial" w:eastAsia="Arial" w:hAnsi="Arial" w:cs="Arial"/>
                      <w:sz w:val="18"/>
                      <w:szCs w:val="18"/>
                      <w:lang w:val="en-GB"/>
                    </w:rPr>
                    <w:t>Knows and understands at an advanced level the terminology related to the legal aspects of digital finance within the disciplinelegal sciences, economics and finance, and management and quality sciences. (K_W01)</w:t>
                  </w:r>
                </w:p>
              </w:tc>
            </w:tr>
            <w:tr w:rsidR="006F1E61" w14:paraId="4DAD919C" w14:textId="77777777">
              <w:trPr>
                <w:cantSplit/>
              </w:trPr>
              <w:tc>
                <w:tcPr>
                  <w:tcW w:w="6118" w:type="dxa"/>
                </w:tcPr>
                <w:p w14:paraId="143EF0EE" w14:textId="77777777" w:rsidR="006F1E61" w:rsidRDefault="000B4BE1">
                  <w:pPr>
                    <w:keepLines/>
                    <w:numPr>
                      <w:ilvl w:val="0"/>
                      <w:numId w:val="14"/>
                    </w:numPr>
                    <w:spacing w:after="40"/>
                    <w:ind w:left="227" w:hanging="181"/>
                    <w:rPr>
                      <w:sz w:val="16"/>
                      <w:szCs w:val="16"/>
                    </w:rPr>
                  </w:pPr>
                  <w:r>
                    <w:rPr>
                      <w:rFonts w:ascii="Arial" w:eastAsia="Arial" w:hAnsi="Arial" w:cs="Arial"/>
                      <w:sz w:val="18"/>
                      <w:szCs w:val="18"/>
                      <w:lang w:val="en-GB"/>
                    </w:rPr>
                    <w:t>Has an advanced knowledge and understanding</w:t>
                  </w:r>
                  <w:r>
                    <w:rPr>
                      <w:rFonts w:ascii="Arial" w:eastAsia="Arial" w:hAnsi="Arial" w:cs="Arial"/>
                      <w:sz w:val="18"/>
                      <w:szCs w:val="18"/>
                      <w:lang w:val="en-GB"/>
                    </w:rPr>
                    <w:t xml:space="preserve"> of the legal structures related to digital finance. (K_W02)</w:t>
                  </w:r>
                </w:p>
              </w:tc>
            </w:tr>
            <w:tr w:rsidR="006F1E61" w14:paraId="266D72F5" w14:textId="77777777">
              <w:trPr>
                <w:cantSplit/>
              </w:trPr>
              <w:tc>
                <w:tcPr>
                  <w:tcW w:w="6118" w:type="dxa"/>
                </w:tcPr>
                <w:p w14:paraId="16B7DB86" w14:textId="77777777" w:rsidR="006F1E61" w:rsidRDefault="000B4BE1">
                  <w:pPr>
                    <w:keepLines/>
                    <w:numPr>
                      <w:ilvl w:val="0"/>
                      <w:numId w:val="14"/>
                    </w:numPr>
                    <w:spacing w:after="40"/>
                    <w:ind w:left="227" w:hanging="181"/>
                    <w:rPr>
                      <w:sz w:val="16"/>
                      <w:szCs w:val="16"/>
                    </w:rPr>
                  </w:pPr>
                  <w:r>
                    <w:rPr>
                      <w:rFonts w:ascii="Arial" w:eastAsia="Arial" w:hAnsi="Arial" w:cs="Arial"/>
                      <w:sz w:val="18"/>
                      <w:szCs w:val="18"/>
                      <w:lang w:val="en-GB"/>
                    </w:rPr>
                    <w:t>Demonstrates advanced knowledge and understanding of the theories and legal models related to digital finance. (K_W03)</w:t>
                  </w:r>
                </w:p>
              </w:tc>
            </w:tr>
            <w:tr w:rsidR="006F1E61" w14:paraId="59E9F8B7" w14:textId="77777777">
              <w:trPr>
                <w:cantSplit/>
              </w:trPr>
              <w:tc>
                <w:tcPr>
                  <w:tcW w:w="6118" w:type="dxa"/>
                </w:tcPr>
                <w:p w14:paraId="4FDFDB39" w14:textId="77777777" w:rsidR="006F1E61" w:rsidRDefault="000B4BE1">
                  <w:pPr>
                    <w:keepLines/>
                    <w:numPr>
                      <w:ilvl w:val="0"/>
                      <w:numId w:val="14"/>
                    </w:numPr>
                    <w:spacing w:after="40"/>
                    <w:ind w:left="227" w:hanging="181"/>
                    <w:rPr>
                      <w:sz w:val="16"/>
                      <w:szCs w:val="16"/>
                    </w:rPr>
                  </w:pPr>
                  <w:r>
                    <w:rPr>
                      <w:rFonts w:ascii="Arial" w:eastAsia="Arial" w:hAnsi="Arial" w:cs="Arial"/>
                      <w:sz w:val="18"/>
                      <w:szCs w:val="18"/>
                      <w:lang w:val="en-GB"/>
                    </w:rPr>
                    <w:t xml:space="preserve">Knows and understands at an advanced level the legal regulations relating </w:t>
                  </w:r>
                  <w:r>
                    <w:rPr>
                      <w:rFonts w:ascii="Arial" w:eastAsia="Arial" w:hAnsi="Arial" w:cs="Arial"/>
                      <w:sz w:val="18"/>
                      <w:szCs w:val="18"/>
                      <w:lang w:val="en-GB"/>
                    </w:rPr>
                    <w:t>to digital finance. (K_W04)</w:t>
                  </w:r>
                </w:p>
              </w:tc>
            </w:tr>
            <w:tr w:rsidR="006F1E61" w14:paraId="51C1AC40" w14:textId="77777777">
              <w:trPr>
                <w:cantSplit/>
              </w:trPr>
              <w:tc>
                <w:tcPr>
                  <w:tcW w:w="6118" w:type="dxa"/>
                </w:tcPr>
                <w:p w14:paraId="7FF76A9B" w14:textId="77777777" w:rsidR="006F1E61" w:rsidRDefault="000B4BE1">
                  <w:pPr>
                    <w:keepLines/>
                    <w:numPr>
                      <w:ilvl w:val="0"/>
                      <w:numId w:val="14"/>
                    </w:numPr>
                    <w:spacing w:after="40"/>
                    <w:ind w:left="227" w:hanging="181"/>
                    <w:rPr>
                      <w:rFonts w:ascii="Times New Roman" w:eastAsia="Times New Roman" w:hAnsi="Times New Roman" w:cs="Times New Roman"/>
                      <w:sz w:val="16"/>
                      <w:szCs w:val="16"/>
                    </w:rPr>
                  </w:pPr>
                  <w:r>
                    <w:rPr>
                      <w:rFonts w:ascii="Arial" w:eastAsia="Arial" w:hAnsi="Arial" w:cs="Arial"/>
                      <w:sz w:val="18"/>
                      <w:szCs w:val="18"/>
                      <w:lang w:val="en-GB"/>
                    </w:rPr>
                    <w:t>Knows and understands technological processes and phenomena to an advanced degree,social, political, legal and economic and their impact on the legal regulations of digital finance. (K_W05)</w:t>
                  </w:r>
                </w:p>
              </w:tc>
            </w:tr>
            <w:tr w:rsidR="006F1E61" w14:paraId="5F1219F0" w14:textId="77777777">
              <w:trPr>
                <w:cantSplit/>
              </w:trPr>
              <w:tc>
                <w:tcPr>
                  <w:tcW w:w="6118" w:type="dxa"/>
                </w:tcPr>
                <w:p w14:paraId="0DF9FB7B" w14:textId="77777777" w:rsidR="006F1E61" w:rsidRDefault="000B4BE1">
                  <w:pPr>
                    <w:keepNext/>
                    <w:keepLines/>
                    <w:spacing w:before="60" w:after="40"/>
                    <w:rPr>
                      <w:sz w:val="16"/>
                      <w:szCs w:val="16"/>
                    </w:rPr>
                  </w:pPr>
                  <w:r>
                    <w:rPr>
                      <w:rFonts w:ascii="Arial" w:eastAsia="Arial" w:hAnsi="Arial" w:cs="Arial"/>
                      <w:b/>
                      <w:sz w:val="18"/>
                      <w:szCs w:val="18"/>
                      <w:lang w:val="en-GB"/>
                    </w:rPr>
                    <w:t>In terms of skills:</w:t>
                  </w:r>
                </w:p>
                <w:p w14:paraId="4A314432" w14:textId="77777777" w:rsidR="006F1E61" w:rsidRDefault="000B4BE1">
                  <w:pPr>
                    <w:keepLines/>
                    <w:numPr>
                      <w:ilvl w:val="0"/>
                      <w:numId w:val="15"/>
                    </w:numPr>
                    <w:spacing w:after="40"/>
                    <w:ind w:left="227" w:hanging="181"/>
                    <w:rPr>
                      <w:sz w:val="16"/>
                      <w:szCs w:val="16"/>
                    </w:rPr>
                  </w:pPr>
                  <w:r>
                    <w:rPr>
                      <w:rFonts w:ascii="Arial" w:eastAsia="Arial" w:hAnsi="Arial" w:cs="Arial"/>
                      <w:sz w:val="18"/>
                      <w:szCs w:val="18"/>
                      <w:lang w:val="en-GB"/>
                    </w:rPr>
                    <w:t>Can use the theo</w:t>
                  </w:r>
                  <w:r>
                    <w:rPr>
                      <w:rFonts w:ascii="Arial" w:eastAsia="Arial" w:hAnsi="Arial" w:cs="Arial"/>
                      <w:sz w:val="18"/>
                      <w:szCs w:val="18"/>
                      <w:lang w:val="en-GB"/>
                    </w:rPr>
                    <w:t>ry of discipline, legal sciences, economics and finance, management and quality sciences to recognize, diagnose and solve problems related to the application of digital finance law, using appropriate selection of sources and adapting existing methods. (K_U</w:t>
                  </w:r>
                  <w:r>
                    <w:rPr>
                      <w:rFonts w:ascii="Arial" w:eastAsia="Arial" w:hAnsi="Arial" w:cs="Arial"/>
                      <w:sz w:val="18"/>
                      <w:szCs w:val="18"/>
                      <w:lang w:val="en-GB"/>
                    </w:rPr>
                    <w:t>01)</w:t>
                  </w:r>
                </w:p>
              </w:tc>
            </w:tr>
            <w:tr w:rsidR="006F1E61" w14:paraId="66C4A652" w14:textId="77777777">
              <w:trPr>
                <w:cantSplit/>
              </w:trPr>
              <w:tc>
                <w:tcPr>
                  <w:tcW w:w="6118" w:type="dxa"/>
                </w:tcPr>
                <w:p w14:paraId="5479FBFB" w14:textId="77777777" w:rsidR="006F1E61" w:rsidRDefault="000B4BE1">
                  <w:pPr>
                    <w:keepLines/>
                    <w:numPr>
                      <w:ilvl w:val="0"/>
                      <w:numId w:val="15"/>
                    </w:numPr>
                    <w:spacing w:after="40"/>
                    <w:ind w:left="227" w:hanging="181"/>
                    <w:rPr>
                      <w:sz w:val="16"/>
                      <w:szCs w:val="16"/>
                    </w:rPr>
                  </w:pPr>
                  <w:r>
                    <w:rPr>
                      <w:rFonts w:ascii="Arial" w:eastAsia="Arial" w:hAnsi="Arial" w:cs="Arial"/>
                      <w:sz w:val="18"/>
                      <w:szCs w:val="18"/>
                      <w:lang w:val="en-GB"/>
                    </w:rPr>
                    <w:t>Is able to correctly interpret technological, social, political, legal, economic and ecological processes and phenomena and their impact on digital finance law, using the appropriate selection of sources.(K_U02)</w:t>
                  </w:r>
                </w:p>
              </w:tc>
            </w:tr>
            <w:tr w:rsidR="006F1E61" w14:paraId="6A60FD25" w14:textId="77777777">
              <w:trPr>
                <w:cantSplit/>
              </w:trPr>
              <w:tc>
                <w:tcPr>
                  <w:tcW w:w="6118" w:type="dxa"/>
                </w:tcPr>
                <w:p w14:paraId="212D8556" w14:textId="77777777" w:rsidR="006F1E61" w:rsidRDefault="000B4BE1">
                  <w:pPr>
                    <w:keepLines/>
                    <w:numPr>
                      <w:ilvl w:val="0"/>
                      <w:numId w:val="15"/>
                    </w:numPr>
                    <w:spacing w:after="40"/>
                    <w:ind w:left="227" w:hanging="181"/>
                    <w:rPr>
                      <w:sz w:val="16"/>
                      <w:szCs w:val="16"/>
                    </w:rPr>
                  </w:pPr>
                  <w:r>
                    <w:rPr>
                      <w:rFonts w:ascii="Arial" w:eastAsia="Arial" w:hAnsi="Arial" w:cs="Arial"/>
                      <w:sz w:val="18"/>
                      <w:szCs w:val="18"/>
                      <w:lang w:val="en-GB"/>
                    </w:rPr>
                    <w:t>Is able to independently and collaborativel</w:t>
                  </w:r>
                  <w:r>
                    <w:rPr>
                      <w:rFonts w:ascii="Arial" w:eastAsia="Arial" w:hAnsi="Arial" w:cs="Arial"/>
                      <w:sz w:val="18"/>
                      <w:szCs w:val="18"/>
                      <w:lang w:val="en-GB"/>
                    </w:rPr>
                    <w:t>y prepare analyses and diagnoses on digital finance law and present them communicatively  in English (K_U03)</w:t>
                  </w:r>
                </w:p>
              </w:tc>
            </w:tr>
            <w:tr w:rsidR="006F1E61" w14:paraId="13EFA113" w14:textId="77777777">
              <w:trPr>
                <w:cantSplit/>
              </w:trPr>
              <w:tc>
                <w:tcPr>
                  <w:tcW w:w="6118" w:type="dxa"/>
                </w:tcPr>
                <w:p w14:paraId="25DC6A88" w14:textId="77777777" w:rsidR="006F1E61" w:rsidRDefault="000B4BE1">
                  <w:pPr>
                    <w:keepLines/>
                    <w:numPr>
                      <w:ilvl w:val="0"/>
                      <w:numId w:val="15"/>
                    </w:numPr>
                    <w:spacing w:after="40"/>
                    <w:ind w:left="227" w:hanging="181"/>
                    <w:rPr>
                      <w:rFonts w:ascii="Times New Roman" w:eastAsia="Times New Roman" w:hAnsi="Times New Roman" w:cs="Times New Roman"/>
                      <w:sz w:val="16"/>
                      <w:szCs w:val="16"/>
                    </w:rPr>
                  </w:pPr>
                  <w:r>
                    <w:rPr>
                      <w:rFonts w:ascii="Arial" w:eastAsia="Arial" w:hAnsi="Arial" w:cs="Arial"/>
                      <w:sz w:val="18"/>
                      <w:szCs w:val="18"/>
                      <w:lang w:val="en-GB"/>
                    </w:rPr>
                    <w:t>Is able to plan and organize his/her own and team work.(K_U04)</w:t>
                  </w:r>
                </w:p>
              </w:tc>
            </w:tr>
            <w:tr w:rsidR="006F1E61" w14:paraId="715D1F72" w14:textId="77777777">
              <w:trPr>
                <w:cantSplit/>
              </w:trPr>
              <w:tc>
                <w:tcPr>
                  <w:tcW w:w="6118" w:type="dxa"/>
                </w:tcPr>
                <w:p w14:paraId="6B031C2F" w14:textId="77777777" w:rsidR="006F1E61" w:rsidRDefault="000B4BE1">
                  <w:pPr>
                    <w:keepLines/>
                    <w:numPr>
                      <w:ilvl w:val="0"/>
                      <w:numId w:val="15"/>
                    </w:numPr>
                    <w:spacing w:after="40"/>
                    <w:ind w:left="227" w:hanging="181"/>
                    <w:rPr>
                      <w:sz w:val="16"/>
                      <w:szCs w:val="16"/>
                    </w:rPr>
                  </w:pPr>
                  <w:r>
                    <w:rPr>
                      <w:rFonts w:ascii="Arial" w:eastAsia="Arial" w:hAnsi="Arial" w:cs="Arial"/>
                      <w:sz w:val="18"/>
                      <w:szCs w:val="18"/>
                      <w:lang w:val="en-GB"/>
                    </w:rPr>
                    <w:t>Has the ability to self-educate and improve acquired qualifications. (K_U05)</w:t>
                  </w:r>
                </w:p>
              </w:tc>
            </w:tr>
            <w:tr w:rsidR="006F1E61" w14:paraId="19317145" w14:textId="77777777">
              <w:trPr>
                <w:cantSplit/>
              </w:trPr>
              <w:tc>
                <w:tcPr>
                  <w:tcW w:w="6118" w:type="dxa"/>
                </w:tcPr>
                <w:p w14:paraId="1C8C59AB" w14:textId="77777777" w:rsidR="006F1E61" w:rsidRDefault="000B4BE1">
                  <w:pPr>
                    <w:keepNext/>
                    <w:keepLines/>
                    <w:spacing w:before="60" w:after="40"/>
                    <w:rPr>
                      <w:sz w:val="16"/>
                      <w:szCs w:val="16"/>
                    </w:rPr>
                  </w:pPr>
                  <w:r>
                    <w:rPr>
                      <w:rFonts w:ascii="Arial" w:eastAsia="Arial" w:hAnsi="Arial" w:cs="Arial"/>
                      <w:b/>
                      <w:sz w:val="18"/>
                      <w:szCs w:val="18"/>
                      <w:lang w:val="en-GB"/>
                    </w:rPr>
                    <w:t>In t</w:t>
                  </w:r>
                  <w:r>
                    <w:rPr>
                      <w:rFonts w:ascii="Arial" w:eastAsia="Arial" w:hAnsi="Arial" w:cs="Arial"/>
                      <w:b/>
                      <w:sz w:val="18"/>
                      <w:szCs w:val="18"/>
                      <w:lang w:val="en-GB"/>
                    </w:rPr>
                    <w:t>erms of social competences:</w:t>
                  </w:r>
                </w:p>
                <w:p w14:paraId="4F58B556" w14:textId="77777777" w:rsidR="006F1E61" w:rsidRDefault="000B4BE1">
                  <w:pPr>
                    <w:keepLines/>
                    <w:numPr>
                      <w:ilvl w:val="0"/>
                      <w:numId w:val="16"/>
                    </w:numPr>
                    <w:spacing w:after="40"/>
                    <w:ind w:left="227" w:hanging="181"/>
                    <w:rPr>
                      <w:sz w:val="16"/>
                      <w:szCs w:val="16"/>
                    </w:rPr>
                  </w:pPr>
                  <w:r>
                    <w:rPr>
                      <w:rFonts w:ascii="Arial" w:eastAsia="Arial" w:hAnsi="Arial" w:cs="Arial"/>
                      <w:sz w:val="18"/>
                      <w:szCs w:val="18"/>
                      <w:lang w:val="en-GB"/>
                    </w:rPr>
                    <w:t>Is ready to evaluate and critically approach situations and phenomena related to the creation and application of digital finance law. (K_K01)</w:t>
                  </w:r>
                </w:p>
              </w:tc>
            </w:tr>
            <w:tr w:rsidR="006F1E61" w14:paraId="7968510E" w14:textId="77777777">
              <w:trPr>
                <w:cantSplit/>
              </w:trPr>
              <w:tc>
                <w:tcPr>
                  <w:tcW w:w="6118" w:type="dxa"/>
                </w:tcPr>
                <w:p w14:paraId="18D3336B" w14:textId="77777777" w:rsidR="006F1E61" w:rsidRDefault="000B4BE1">
                  <w:pPr>
                    <w:keepLines/>
                    <w:numPr>
                      <w:ilvl w:val="0"/>
                      <w:numId w:val="17"/>
                    </w:numPr>
                    <w:spacing w:after="40"/>
                    <w:ind w:left="227" w:hanging="181"/>
                    <w:rPr>
                      <w:sz w:val="16"/>
                      <w:szCs w:val="16"/>
                    </w:rPr>
                  </w:pPr>
                  <w:r>
                    <w:rPr>
                      <w:rFonts w:ascii="Arial" w:eastAsia="Arial" w:hAnsi="Arial" w:cs="Arial"/>
                      <w:sz w:val="18"/>
                      <w:szCs w:val="18"/>
                      <w:lang w:val="en-GB"/>
                    </w:rPr>
                    <w:t>Is willing to adhere to professional ethical standards regarding the creation and application of law in the field of digital finance.(K_K02)</w:t>
                  </w:r>
                </w:p>
              </w:tc>
            </w:tr>
          </w:tbl>
          <w:p w14:paraId="31FA8757" w14:textId="77777777" w:rsidR="006F1E61" w:rsidRDefault="006F1E61">
            <w:pPr>
              <w:spacing w:line="20" w:lineRule="exact"/>
            </w:pPr>
          </w:p>
        </w:tc>
      </w:tr>
      <w:tr w:rsidR="00325422" w:rsidRPr="000C0EC7" w14:paraId="783BCE7A"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33BF4951" w14:textId="77777777" w:rsidR="00325422" w:rsidRPr="004D621E" w:rsidRDefault="00B06052" w:rsidP="004D621E">
            <w:pPr>
              <w:spacing w:line="276" w:lineRule="auto"/>
              <w:rPr>
                <w:lang w:val="en-GB"/>
              </w:rPr>
            </w:pPr>
            <w:r w:rsidRPr="004D621E">
              <w:rPr>
                <w:lang w:val="en-GB"/>
              </w:rPr>
              <w:lastRenderedPageBreak/>
              <w:t>ECTS credit allocation (and other scores)</w:t>
            </w:r>
          </w:p>
        </w:tc>
        <w:tc>
          <w:tcPr>
            <w:tcW w:w="6339" w:type="dxa"/>
            <w:tcBorders>
              <w:top w:val="single" w:sz="4" w:space="0" w:color="000000"/>
              <w:left w:val="single" w:sz="4" w:space="0" w:color="000000"/>
              <w:bottom w:val="single" w:sz="4" w:space="0" w:color="000000"/>
              <w:right w:val="single" w:sz="4" w:space="0" w:color="000000"/>
            </w:tcBorders>
          </w:tcPr>
          <w:p w14:paraId="4C6C77C6" w14:textId="77777777" w:rsidR="006F1E61" w:rsidRDefault="000B4BE1">
            <w:pPr>
              <w:keepLines/>
              <w:spacing w:after="40" w:line="259" w:lineRule="auto"/>
            </w:pPr>
            <w:r>
              <w:rPr>
                <w:rFonts w:ascii="Arial" w:eastAsia="Arial" w:hAnsi="Arial" w:cs="Arial"/>
                <w:sz w:val="18"/>
                <w:szCs w:val="18"/>
                <w:lang w:val="en-GB"/>
              </w:rPr>
              <w:t>4</w:t>
            </w:r>
          </w:p>
        </w:tc>
      </w:tr>
      <w:tr w:rsidR="00325422" w:rsidRPr="000C0EC7" w14:paraId="720C50F2" w14:textId="77777777" w:rsidTr="00662E4B">
        <w:trPr>
          <w:cantSplit/>
          <w:trHeight w:val="218"/>
        </w:trPr>
        <w:tc>
          <w:tcPr>
            <w:tcW w:w="3118" w:type="dxa"/>
            <w:gridSpan w:val="2"/>
            <w:tcBorders>
              <w:top w:val="single" w:sz="4" w:space="0" w:color="000000"/>
              <w:left w:val="single" w:sz="4" w:space="0" w:color="000000"/>
              <w:bottom w:val="single" w:sz="4" w:space="0" w:color="000000"/>
              <w:right w:val="single" w:sz="4" w:space="0" w:color="000000"/>
            </w:tcBorders>
          </w:tcPr>
          <w:p w14:paraId="296D1F93" w14:textId="77777777" w:rsidR="00325422" w:rsidRPr="004D621E" w:rsidRDefault="00B06052" w:rsidP="004D621E">
            <w:pPr>
              <w:spacing w:line="276" w:lineRule="auto"/>
              <w:rPr>
                <w:lang w:val="en-GB"/>
              </w:rPr>
            </w:pPr>
            <w:r w:rsidRPr="004D621E">
              <w:rPr>
                <w:lang w:val="en-GB"/>
              </w:rPr>
              <w:t>Assessment methods and assessment criteria</w:t>
            </w:r>
          </w:p>
        </w:tc>
        <w:tc>
          <w:tcPr>
            <w:tcW w:w="6339" w:type="dxa"/>
            <w:tcBorders>
              <w:top w:val="single" w:sz="4" w:space="0" w:color="000000"/>
              <w:left w:val="single" w:sz="4" w:space="0" w:color="000000"/>
              <w:bottom w:val="single" w:sz="4" w:space="0" w:color="000000"/>
              <w:right w:val="single" w:sz="4" w:space="0" w:color="000000"/>
            </w:tcBorders>
          </w:tcPr>
          <w:p w14:paraId="5A610A9D" w14:textId="77777777" w:rsidR="006F1E61" w:rsidRDefault="000B4BE1">
            <w:pPr>
              <w:keepLines/>
              <w:spacing w:after="40" w:line="259" w:lineRule="auto"/>
              <w:rPr>
                <w:sz w:val="16"/>
                <w:szCs w:val="16"/>
              </w:rPr>
            </w:pPr>
            <w:r>
              <w:rPr>
                <w:rFonts w:ascii="Arial" w:eastAsia="Arial" w:hAnsi="Arial" w:cs="Arial"/>
                <w:b/>
                <w:bCs/>
                <w:sz w:val="18"/>
                <w:szCs w:val="18"/>
                <w:lang w:val="en-GB"/>
              </w:rPr>
              <w:t>Attendance</w:t>
            </w:r>
            <w:r>
              <w:rPr>
                <w:rFonts w:ascii="Arial" w:eastAsia="Arial" w:hAnsi="Arial" w:cs="Arial"/>
                <w:sz w:val="18"/>
                <w:szCs w:val="18"/>
                <w:lang w:val="en-GB"/>
              </w:rPr>
              <w:t xml:space="preserve"> - 4 points - (two absences are allowed; in case of more, credit must be obtained during office hours)</w:t>
            </w:r>
          </w:p>
          <w:p w14:paraId="57E11C6C" w14:textId="77777777" w:rsidR="006F1E61" w:rsidRDefault="000B4BE1">
            <w:pPr>
              <w:keepLines/>
              <w:spacing w:after="40" w:line="259" w:lineRule="auto"/>
              <w:rPr>
                <w:sz w:val="16"/>
                <w:szCs w:val="16"/>
              </w:rPr>
            </w:pPr>
            <w:r>
              <w:rPr>
                <w:rFonts w:ascii="Arial" w:eastAsia="Arial" w:hAnsi="Arial" w:cs="Arial"/>
                <w:b/>
                <w:bCs/>
                <w:sz w:val="18"/>
                <w:szCs w:val="18"/>
                <w:lang w:val="en-GB"/>
              </w:rPr>
              <w:t>Active participation in classes</w:t>
            </w:r>
            <w:r>
              <w:rPr>
                <w:rFonts w:ascii="Arial" w:eastAsia="Arial" w:hAnsi="Arial" w:cs="Arial"/>
                <w:sz w:val="18"/>
                <w:szCs w:val="18"/>
                <w:lang w:val="en-GB"/>
              </w:rPr>
              <w:t xml:space="preserve"> max 3 points - (there will be sessions where students will work in groups on issues in the form of case studies)</w:t>
            </w:r>
            <w:r>
              <w:rPr>
                <w:rFonts w:ascii="Arial" w:eastAsia="Arial" w:hAnsi="Arial" w:cs="Arial"/>
                <w:sz w:val="18"/>
                <w:szCs w:val="18"/>
                <w:lang w:val="en-GB"/>
              </w:rPr>
              <w:br/>
            </w:r>
            <w:r>
              <w:rPr>
                <w:rFonts w:ascii="Arial" w:eastAsia="Arial" w:hAnsi="Arial" w:cs="Arial"/>
                <w:b/>
                <w:bCs/>
                <w:sz w:val="18"/>
                <w:szCs w:val="18"/>
                <w:lang w:val="en-GB"/>
              </w:rPr>
              <w:t xml:space="preserve">Written </w:t>
            </w:r>
            <w:r>
              <w:rPr>
                <w:rFonts w:ascii="Arial" w:eastAsia="Arial" w:hAnsi="Arial" w:cs="Arial"/>
                <w:b/>
                <w:bCs/>
                <w:sz w:val="18"/>
                <w:szCs w:val="18"/>
                <w:lang w:val="en-GB"/>
              </w:rPr>
              <w:t>test</w:t>
            </w:r>
            <w:r>
              <w:rPr>
                <w:rFonts w:ascii="Arial" w:eastAsia="Arial" w:hAnsi="Arial" w:cs="Arial"/>
                <w:sz w:val="18"/>
                <w:szCs w:val="18"/>
                <w:lang w:val="en-GB"/>
              </w:rPr>
              <w:t xml:space="preserve"> max 3 points - (multiple-choice questions)</w:t>
            </w:r>
          </w:p>
        </w:tc>
      </w:tr>
      <w:tr w:rsidR="00325422" w:rsidRPr="004D621E" w14:paraId="0ABEE533"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5D8A3B77" w14:textId="77777777" w:rsidR="00325422" w:rsidRPr="004D621E" w:rsidRDefault="00B06052" w:rsidP="004D621E">
            <w:pPr>
              <w:spacing w:line="276" w:lineRule="auto"/>
            </w:pPr>
            <w:proofErr w:type="spellStart"/>
            <w:r w:rsidRPr="004D621E">
              <w:t>Examination</w:t>
            </w:r>
            <w:proofErr w:type="spellEnd"/>
            <w:r w:rsidR="00325422" w:rsidRPr="004D621E">
              <w:t xml:space="preserve"> </w:t>
            </w:r>
          </w:p>
        </w:tc>
        <w:tc>
          <w:tcPr>
            <w:tcW w:w="6339" w:type="dxa"/>
            <w:tcBorders>
              <w:top w:val="single" w:sz="4" w:space="0" w:color="000000"/>
              <w:left w:val="single" w:sz="4" w:space="0" w:color="000000"/>
              <w:bottom w:val="single" w:sz="4" w:space="0" w:color="000000"/>
              <w:right w:val="single" w:sz="4" w:space="0" w:color="000000"/>
            </w:tcBorders>
          </w:tcPr>
          <w:p w14:paraId="1B181F45" w14:textId="77777777" w:rsidR="006F1E61" w:rsidRDefault="000B4BE1">
            <w:pPr>
              <w:keepLines/>
              <w:spacing w:after="40" w:line="259" w:lineRule="auto"/>
            </w:pPr>
            <w:r>
              <w:rPr>
                <w:rFonts w:ascii="Arial" w:eastAsia="Arial" w:hAnsi="Arial" w:cs="Arial"/>
                <w:sz w:val="18"/>
                <w:szCs w:val="18"/>
                <w:lang w:val="en-GB"/>
              </w:rPr>
              <w:t>Pass with a grade.</w:t>
            </w:r>
          </w:p>
          <w:p w14:paraId="07746825" w14:textId="77777777" w:rsidR="006F1E61" w:rsidRDefault="000B4BE1">
            <w:pPr>
              <w:keepLines/>
              <w:spacing w:after="40" w:line="259" w:lineRule="auto"/>
              <w:rPr>
                <w:sz w:val="16"/>
                <w:szCs w:val="16"/>
              </w:rPr>
            </w:pPr>
            <w:r>
              <w:rPr>
                <w:rFonts w:ascii="Arial" w:eastAsia="Arial" w:hAnsi="Arial" w:cs="Arial"/>
                <w:b/>
                <w:bCs/>
                <w:sz w:val="18"/>
                <w:szCs w:val="18"/>
                <w:lang w:val="en-GB"/>
              </w:rPr>
              <w:t>Attendance</w:t>
            </w:r>
            <w:r>
              <w:rPr>
                <w:rFonts w:ascii="Arial" w:eastAsia="Arial" w:hAnsi="Arial" w:cs="Arial"/>
                <w:sz w:val="18"/>
                <w:szCs w:val="18"/>
                <w:lang w:val="en-GB"/>
              </w:rPr>
              <w:t xml:space="preserve"> (two absences are allowed; in case of more, credit must be obtained during office hours)</w:t>
            </w:r>
          </w:p>
          <w:p w14:paraId="17CC1143" w14:textId="77777777" w:rsidR="006F1E61" w:rsidRDefault="000B4BE1">
            <w:pPr>
              <w:keepLines/>
              <w:spacing w:after="40" w:line="259" w:lineRule="auto"/>
              <w:rPr>
                <w:sz w:val="16"/>
                <w:szCs w:val="16"/>
              </w:rPr>
            </w:pPr>
            <w:r>
              <w:rPr>
                <w:rFonts w:ascii="Arial" w:eastAsia="Arial" w:hAnsi="Arial" w:cs="Arial"/>
                <w:b/>
                <w:bCs/>
                <w:sz w:val="18"/>
                <w:szCs w:val="18"/>
                <w:lang w:val="en-GB"/>
              </w:rPr>
              <w:t>Active participation in classes</w:t>
            </w:r>
            <w:r>
              <w:rPr>
                <w:rFonts w:ascii="Arial" w:eastAsia="Arial" w:hAnsi="Arial" w:cs="Arial"/>
                <w:sz w:val="18"/>
                <w:szCs w:val="18"/>
                <w:lang w:val="en-GB"/>
              </w:rPr>
              <w:t xml:space="preserve"> (there will be sessions where students will</w:t>
            </w:r>
            <w:r>
              <w:rPr>
                <w:rFonts w:ascii="Arial" w:eastAsia="Arial" w:hAnsi="Arial" w:cs="Arial"/>
                <w:sz w:val="18"/>
                <w:szCs w:val="18"/>
                <w:lang w:val="en-GB"/>
              </w:rPr>
              <w:t xml:space="preserve"> work in groups on issues in the form of case studies)</w:t>
            </w:r>
            <w:r>
              <w:rPr>
                <w:rFonts w:ascii="Arial" w:eastAsia="Arial" w:hAnsi="Arial" w:cs="Arial"/>
                <w:sz w:val="18"/>
                <w:szCs w:val="18"/>
                <w:lang w:val="en-GB"/>
              </w:rPr>
              <w:br/>
            </w:r>
            <w:r>
              <w:rPr>
                <w:rFonts w:ascii="Arial" w:eastAsia="Arial" w:hAnsi="Arial" w:cs="Arial"/>
                <w:b/>
                <w:bCs/>
                <w:sz w:val="18"/>
                <w:szCs w:val="18"/>
                <w:lang w:val="en-GB"/>
              </w:rPr>
              <w:t>Written test</w:t>
            </w:r>
            <w:r>
              <w:rPr>
                <w:rFonts w:ascii="Arial" w:eastAsia="Arial" w:hAnsi="Arial" w:cs="Arial"/>
                <w:sz w:val="18"/>
                <w:szCs w:val="18"/>
                <w:lang w:val="en-GB"/>
              </w:rPr>
              <w:t xml:space="preserve"> (single-choice questions)</w:t>
            </w:r>
          </w:p>
        </w:tc>
      </w:tr>
      <w:tr w:rsidR="00325422" w:rsidRPr="004D621E" w14:paraId="12429A7A"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586B8F4C" w14:textId="77777777" w:rsidR="00325422" w:rsidRPr="004D621E" w:rsidRDefault="00B06052" w:rsidP="004D621E">
            <w:pPr>
              <w:spacing w:line="276" w:lineRule="auto"/>
            </w:pPr>
            <w:proofErr w:type="spellStart"/>
            <w:r w:rsidRPr="004D621E">
              <w:t>Type</w:t>
            </w:r>
            <w:proofErr w:type="spellEnd"/>
            <w:r w:rsidRPr="004D621E">
              <w:t xml:space="preserve"> of </w:t>
            </w:r>
            <w:proofErr w:type="spellStart"/>
            <w:r w:rsidRPr="004D621E">
              <w:t>class</w:t>
            </w:r>
            <w:proofErr w:type="spellEnd"/>
          </w:p>
        </w:tc>
        <w:tc>
          <w:tcPr>
            <w:tcW w:w="6339" w:type="dxa"/>
            <w:tcBorders>
              <w:top w:val="single" w:sz="4" w:space="0" w:color="000000"/>
              <w:left w:val="single" w:sz="4" w:space="0" w:color="000000"/>
              <w:bottom w:val="single" w:sz="4" w:space="0" w:color="000000"/>
              <w:right w:val="single" w:sz="4" w:space="0" w:color="000000"/>
            </w:tcBorders>
          </w:tcPr>
          <w:p w14:paraId="3165322C" w14:textId="77777777" w:rsidR="006F1E61" w:rsidRDefault="000B4BE1">
            <w:pPr>
              <w:keepLines/>
              <w:spacing w:after="40" w:line="259" w:lineRule="auto"/>
            </w:pPr>
            <w:r>
              <w:rPr>
                <w:rFonts w:ascii="Arial" w:eastAsia="Arial" w:hAnsi="Arial" w:cs="Arial"/>
                <w:sz w:val="18"/>
                <w:szCs w:val="18"/>
                <w:lang w:val="en-GB"/>
              </w:rPr>
              <w:t>Compulsory. Offered under the International Business Program – 30 teaching hours.</w:t>
            </w:r>
          </w:p>
        </w:tc>
      </w:tr>
      <w:tr w:rsidR="00325422" w:rsidRPr="000C0EC7" w14:paraId="52C27B12"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202D01A8" w14:textId="77777777" w:rsidR="00325422" w:rsidRPr="00662E4B" w:rsidRDefault="00662E4B" w:rsidP="004D621E">
            <w:pPr>
              <w:spacing w:line="276" w:lineRule="auto"/>
              <w:rPr>
                <w:lang w:val="en-US"/>
              </w:rPr>
            </w:pPr>
            <w:r w:rsidRPr="00662E4B">
              <w:rPr>
                <w:lang w:val="en-US"/>
              </w:rPr>
              <w:t>Method of implementation of the subject</w:t>
            </w:r>
          </w:p>
        </w:tc>
        <w:tc>
          <w:tcPr>
            <w:tcW w:w="6339" w:type="dxa"/>
            <w:tcBorders>
              <w:top w:val="single" w:sz="4" w:space="0" w:color="000000"/>
              <w:left w:val="single" w:sz="4" w:space="0" w:color="000000"/>
              <w:bottom w:val="single" w:sz="4" w:space="0" w:color="000000"/>
              <w:right w:val="single" w:sz="4" w:space="0" w:color="000000"/>
            </w:tcBorders>
          </w:tcPr>
          <w:p w14:paraId="79A53A82" w14:textId="77777777" w:rsidR="006F1E61" w:rsidRDefault="000B4BE1">
            <w:pPr>
              <w:keepLines/>
              <w:spacing w:after="40" w:line="259" w:lineRule="auto"/>
              <w:rPr>
                <w:sz w:val="16"/>
                <w:szCs w:val="16"/>
              </w:rPr>
            </w:pPr>
            <w:r>
              <w:rPr>
                <w:rFonts w:ascii="Arial" w:eastAsia="Arial" w:hAnsi="Arial" w:cs="Arial"/>
                <w:sz w:val="18"/>
                <w:szCs w:val="18"/>
                <w:lang w:val="en-GB"/>
              </w:rPr>
              <w:t>In the teaching room</w:t>
            </w:r>
          </w:p>
        </w:tc>
      </w:tr>
      <w:tr w:rsidR="00325422" w:rsidRPr="004D621E" w14:paraId="60A600DA" w14:textId="77777777" w:rsidTr="00662E4B">
        <w:trPr>
          <w:cantSplit/>
          <w:trHeight w:val="218"/>
        </w:trPr>
        <w:tc>
          <w:tcPr>
            <w:tcW w:w="3118" w:type="dxa"/>
            <w:gridSpan w:val="2"/>
            <w:tcBorders>
              <w:top w:val="single" w:sz="4" w:space="0" w:color="000000"/>
              <w:left w:val="single" w:sz="4" w:space="0" w:color="000000"/>
              <w:bottom w:val="single" w:sz="4" w:space="0" w:color="000000"/>
              <w:right w:val="single" w:sz="4" w:space="0" w:color="000000"/>
            </w:tcBorders>
          </w:tcPr>
          <w:p w14:paraId="09F84679" w14:textId="77777777" w:rsidR="00325422" w:rsidRPr="004D621E" w:rsidRDefault="00B06052" w:rsidP="004D621E">
            <w:pPr>
              <w:spacing w:line="276" w:lineRule="auto"/>
            </w:pPr>
            <w:r w:rsidRPr="004D621E">
              <w:t>Language</w:t>
            </w:r>
            <w:r w:rsidR="00325422" w:rsidRPr="004D621E">
              <w:t xml:space="preserve"> </w:t>
            </w:r>
          </w:p>
        </w:tc>
        <w:tc>
          <w:tcPr>
            <w:tcW w:w="6339" w:type="dxa"/>
            <w:tcBorders>
              <w:top w:val="single" w:sz="4" w:space="0" w:color="000000"/>
              <w:left w:val="single" w:sz="4" w:space="0" w:color="000000"/>
              <w:bottom w:val="single" w:sz="4" w:space="0" w:color="000000"/>
              <w:right w:val="single" w:sz="4" w:space="0" w:color="000000"/>
            </w:tcBorders>
          </w:tcPr>
          <w:p w14:paraId="14B436C6" w14:textId="77777777" w:rsidR="006F1E61" w:rsidRDefault="000B4BE1">
            <w:pPr>
              <w:keepLines/>
              <w:spacing w:after="40" w:line="259" w:lineRule="auto"/>
              <w:rPr>
                <w:sz w:val="16"/>
                <w:szCs w:val="16"/>
              </w:rPr>
            </w:pPr>
            <w:r>
              <w:rPr>
                <w:rFonts w:ascii="Arial" w:eastAsia="Arial" w:hAnsi="Arial" w:cs="Arial"/>
                <w:sz w:val="18"/>
                <w:szCs w:val="18"/>
                <w:lang w:val="en-GB"/>
              </w:rPr>
              <w:t xml:space="preserve"> English</w:t>
            </w:r>
          </w:p>
        </w:tc>
      </w:tr>
      <w:tr w:rsidR="00325422" w:rsidRPr="004D621E" w14:paraId="4F377678" w14:textId="77777777" w:rsidTr="00662E4B">
        <w:trPr>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5B7B8A81" w14:textId="77777777" w:rsidR="00325422" w:rsidRPr="004D621E" w:rsidRDefault="00B06052" w:rsidP="004D621E">
            <w:pPr>
              <w:spacing w:line="276" w:lineRule="auto"/>
            </w:pPr>
            <w:proofErr w:type="spellStart"/>
            <w:r w:rsidRPr="004D621E">
              <w:t>Bibliography</w:t>
            </w:r>
            <w:proofErr w:type="spellEnd"/>
          </w:p>
        </w:tc>
        <w:tc>
          <w:tcPr>
            <w:tcW w:w="6339" w:type="dxa"/>
            <w:tcBorders>
              <w:top w:val="single" w:sz="4" w:space="0" w:color="000000"/>
              <w:left w:val="single" w:sz="4" w:space="0" w:color="000000"/>
              <w:bottom w:val="single" w:sz="4" w:space="0" w:color="000000"/>
              <w:right w:val="single" w:sz="4" w:space="0" w:color="000000"/>
            </w:tcBorders>
          </w:tcPr>
          <w:tbl>
            <w:tblPr>
              <w:tblStyle w:val="TableNormal"/>
              <w:tblW w:w="611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4A0" w:firstRow="1" w:lastRow="0" w:firstColumn="1" w:lastColumn="0" w:noHBand="0" w:noVBand="1"/>
            </w:tblPr>
            <w:tblGrid>
              <w:gridCol w:w="6118"/>
            </w:tblGrid>
            <w:tr w:rsidR="006F1E61" w14:paraId="22B3BB94" w14:textId="77777777">
              <w:trPr>
                <w:cantSplit/>
              </w:trPr>
              <w:tc>
                <w:tcPr>
                  <w:tcW w:w="6118" w:type="dxa"/>
                </w:tcPr>
                <w:p w14:paraId="2D7D5281" w14:textId="77777777" w:rsidR="006F1E61" w:rsidRDefault="000B4BE1">
                  <w:pPr>
                    <w:pStyle w:val="Nagwek3"/>
                    <w:spacing w:before="0" w:after="40"/>
                    <w:rPr>
                      <w:color w:val="222222"/>
                      <w:sz w:val="16"/>
                      <w:szCs w:val="16"/>
                      <w:highlight w:val="white"/>
                    </w:rPr>
                  </w:pPr>
                  <w:r>
                    <w:rPr>
                      <w:rFonts w:ascii="Arial" w:eastAsia="Arial" w:hAnsi="Arial" w:cs="Arial"/>
                      <w:color w:val="222222"/>
                      <w:sz w:val="18"/>
                      <w:szCs w:val="18"/>
                      <w:lang w:val="en-GB"/>
                    </w:rPr>
                    <w:t>Required:</w:t>
                  </w:r>
                </w:p>
                <w:p w14:paraId="3BD2D7F6" w14:textId="77777777" w:rsidR="006F1E61" w:rsidRDefault="000B4BE1">
                  <w:pPr>
                    <w:keepLines/>
                    <w:numPr>
                      <w:ilvl w:val="0"/>
                      <w:numId w:val="18"/>
                    </w:numPr>
                    <w:spacing w:after="100"/>
                    <w:ind w:left="227" w:hanging="181"/>
                    <w:rPr>
                      <w:color w:val="222222"/>
                      <w:sz w:val="16"/>
                      <w:szCs w:val="16"/>
                      <w:highlight w:val="white"/>
                    </w:rPr>
                  </w:pPr>
                  <w:r>
                    <w:rPr>
                      <w:rFonts w:ascii="Arial" w:eastAsia="Arial" w:hAnsi="Arial" w:cs="Arial"/>
                      <w:color w:val="222222"/>
                      <w:sz w:val="18"/>
                      <w:szCs w:val="18"/>
                      <w:lang w:val="en-GB"/>
                    </w:rPr>
                    <w:t xml:space="preserve">Hallak, I. (2024). </w:t>
                  </w:r>
                  <w:r>
                    <w:rPr>
                      <w:rFonts w:ascii="Arial" w:eastAsia="Arial" w:hAnsi="Arial" w:cs="Arial"/>
                      <w:i/>
                      <w:iCs/>
                      <w:color w:val="222222"/>
                      <w:sz w:val="18"/>
                      <w:szCs w:val="18"/>
                      <w:lang w:val="en-GB"/>
                    </w:rPr>
                    <w:t>Digital finance legislation: Overview and state of play</w:t>
                  </w:r>
                  <w:r>
                    <w:rPr>
                      <w:rFonts w:ascii="Arial" w:eastAsia="Arial" w:hAnsi="Arial" w:cs="Arial"/>
                      <w:color w:val="222222"/>
                      <w:sz w:val="18"/>
                      <w:szCs w:val="18"/>
                      <w:lang w:val="en-GB"/>
                    </w:rPr>
                    <w:t>. European Parliamentary Research Service (EPRS), Briefing.</w:t>
                  </w:r>
                  <w:hyperlink r:id="rId7">
                    <w:r>
                      <w:rPr>
                        <w:rFonts w:ascii="Arial" w:eastAsia="Arial" w:hAnsi="Arial" w:cs="Arial"/>
                        <w:color w:val="222222"/>
                        <w:sz w:val="18"/>
                        <w:szCs w:val="18"/>
                        <w:lang w:val="en-GB"/>
                      </w:rPr>
                      <w:t xml:space="preserve"> </w:t>
                    </w:r>
                  </w:hyperlink>
                  <w:hyperlink r:id="rId8">
                    <w:r>
                      <w:rPr>
                        <w:rFonts w:ascii="Arial" w:eastAsia="Arial" w:hAnsi="Arial" w:cs="Arial"/>
                        <w:color w:val="1155CC"/>
                        <w:sz w:val="18"/>
                        <w:szCs w:val="18"/>
                        <w:u w:val="single"/>
                        <w:lang w:val="en-GB"/>
                      </w:rPr>
                      <w:t>https://www.europarl.europa.eu/RegData/etudes/BRIE/2024/762308/EPRS_BRI(2024)762308_EN.pdf</w:t>
                    </w:r>
                    <w:r>
                      <w:rPr>
                        <w:rFonts w:ascii="Arial" w:eastAsia="Arial" w:hAnsi="Arial" w:cs="Arial"/>
                        <w:color w:val="1155CC"/>
                        <w:sz w:val="18"/>
                        <w:szCs w:val="18"/>
                        <w:u w:val="single"/>
                        <w:lang w:val="en-GB"/>
                      </w:rPr>
                      <w:br/>
                    </w:r>
                  </w:hyperlink>
                </w:p>
              </w:tc>
            </w:tr>
            <w:tr w:rsidR="006F1E61" w14:paraId="1EAFCE82" w14:textId="77777777">
              <w:trPr>
                <w:cantSplit/>
              </w:trPr>
              <w:tc>
                <w:tcPr>
                  <w:tcW w:w="6118" w:type="dxa"/>
                </w:tcPr>
                <w:p w14:paraId="642FF3FB" w14:textId="77777777" w:rsidR="006F1E61" w:rsidRDefault="000B4BE1">
                  <w:pPr>
                    <w:keepLines/>
                    <w:numPr>
                      <w:ilvl w:val="0"/>
                      <w:numId w:val="18"/>
                    </w:numPr>
                    <w:spacing w:after="100"/>
                    <w:ind w:left="227" w:hanging="181"/>
                    <w:rPr>
                      <w:color w:val="222222"/>
                      <w:sz w:val="16"/>
                      <w:szCs w:val="16"/>
                      <w:highlight w:val="white"/>
                    </w:rPr>
                  </w:pPr>
                  <w:r>
                    <w:rPr>
                      <w:rFonts w:ascii="Arial" w:eastAsia="Arial" w:hAnsi="Arial" w:cs="Arial"/>
                      <w:color w:val="222222"/>
                      <w:sz w:val="18"/>
                      <w:szCs w:val="18"/>
                      <w:lang w:val="en-GB"/>
                    </w:rPr>
                    <w:t xml:space="preserve">Górka, J. (2025). The rise of instant payments: A cross-country comparison. </w:t>
                  </w:r>
                  <w:r>
                    <w:rPr>
                      <w:rFonts w:ascii="Arial" w:eastAsia="Arial" w:hAnsi="Arial" w:cs="Arial"/>
                      <w:i/>
                      <w:iCs/>
                      <w:color w:val="222222"/>
                      <w:sz w:val="18"/>
                      <w:szCs w:val="18"/>
                      <w:lang w:val="en-GB"/>
                    </w:rPr>
                    <w:t>Central E</w:t>
                  </w:r>
                  <w:r>
                    <w:rPr>
                      <w:rFonts w:ascii="Arial" w:eastAsia="Arial" w:hAnsi="Arial" w:cs="Arial"/>
                      <w:i/>
                      <w:iCs/>
                      <w:color w:val="222222"/>
                      <w:sz w:val="18"/>
                      <w:szCs w:val="18"/>
                      <w:lang w:val="en-GB"/>
                    </w:rPr>
                    <w:t>uropean Management Journal</w:t>
                  </w:r>
                  <w:r>
                    <w:rPr>
                      <w:rFonts w:ascii="Arial" w:eastAsia="Arial" w:hAnsi="Arial" w:cs="Arial"/>
                      <w:color w:val="222222"/>
                      <w:sz w:val="18"/>
                      <w:szCs w:val="18"/>
                      <w:lang w:val="en-GB"/>
                    </w:rPr>
                    <w:t>.</w:t>
                  </w:r>
                  <w:hyperlink r:id="rId9">
                    <w:r>
                      <w:rPr>
                        <w:rFonts w:ascii="Arial" w:eastAsia="Arial" w:hAnsi="Arial" w:cs="Arial"/>
                        <w:color w:val="222222"/>
                        <w:sz w:val="18"/>
                        <w:szCs w:val="18"/>
                        <w:lang w:val="en-GB"/>
                      </w:rPr>
                      <w:t xml:space="preserve"> </w:t>
                    </w:r>
                  </w:hyperlink>
                  <w:hyperlink r:id="rId10">
                    <w:r>
                      <w:rPr>
                        <w:rFonts w:ascii="Arial" w:eastAsia="Arial" w:hAnsi="Arial" w:cs="Arial"/>
                        <w:color w:val="1155CC"/>
                        <w:sz w:val="18"/>
                        <w:szCs w:val="18"/>
                        <w:u w:val="single"/>
                        <w:lang w:val="en-GB"/>
                      </w:rPr>
                      <w:t>https://doi.org/10.1108/CEMJ-10-2024-0297</w:t>
                    </w:r>
                    <w:r>
                      <w:rPr>
                        <w:rFonts w:ascii="Arial" w:eastAsia="Arial" w:hAnsi="Arial" w:cs="Arial"/>
                        <w:color w:val="1155CC"/>
                        <w:sz w:val="18"/>
                        <w:szCs w:val="18"/>
                        <w:u w:val="single"/>
                        <w:lang w:val="en-GB"/>
                      </w:rPr>
                      <w:br/>
                    </w:r>
                  </w:hyperlink>
                </w:p>
              </w:tc>
            </w:tr>
            <w:tr w:rsidR="006F1E61" w14:paraId="56182D88" w14:textId="77777777">
              <w:trPr>
                <w:cantSplit/>
              </w:trPr>
              <w:tc>
                <w:tcPr>
                  <w:tcW w:w="6118" w:type="dxa"/>
                </w:tcPr>
                <w:p w14:paraId="59922166" w14:textId="77777777" w:rsidR="006F1E61" w:rsidRDefault="000B4BE1">
                  <w:pPr>
                    <w:keepLines/>
                    <w:numPr>
                      <w:ilvl w:val="0"/>
                      <w:numId w:val="18"/>
                    </w:numPr>
                    <w:spacing w:after="100"/>
                    <w:ind w:left="227" w:hanging="181"/>
                    <w:rPr>
                      <w:color w:val="222222"/>
                      <w:sz w:val="16"/>
                      <w:szCs w:val="16"/>
                      <w:highlight w:val="white"/>
                    </w:rPr>
                  </w:pPr>
                  <w:r>
                    <w:rPr>
                      <w:rFonts w:ascii="Arial" w:eastAsia="Arial" w:hAnsi="Arial" w:cs="Arial"/>
                      <w:color w:val="222222"/>
                      <w:sz w:val="18"/>
                      <w:szCs w:val="18"/>
                      <w:lang w:val="en-GB"/>
                    </w:rPr>
                    <w:t>Grabowski, M. (2021). Legal aspects of “white-label” banking i</w:t>
                  </w:r>
                  <w:r>
                    <w:rPr>
                      <w:rFonts w:ascii="Arial" w:eastAsia="Arial" w:hAnsi="Arial" w:cs="Arial"/>
                      <w:color w:val="222222"/>
                      <w:sz w:val="18"/>
                      <w:szCs w:val="18"/>
                      <w:lang w:val="en-GB"/>
                    </w:rPr>
                    <w:t xml:space="preserve">n the European, Polish and German law. </w:t>
                  </w:r>
                  <w:r>
                    <w:rPr>
                      <w:rFonts w:ascii="Arial" w:eastAsia="Arial" w:hAnsi="Arial" w:cs="Arial"/>
                      <w:i/>
                      <w:iCs/>
                      <w:color w:val="222222"/>
                      <w:sz w:val="18"/>
                      <w:szCs w:val="18"/>
                      <w:lang w:val="en-GB"/>
                    </w:rPr>
                    <w:t>Journal of Risk and Financial Management, 14</w:t>
                  </w:r>
                  <w:r>
                    <w:rPr>
                      <w:rFonts w:ascii="Arial" w:eastAsia="Arial" w:hAnsi="Arial" w:cs="Arial"/>
                      <w:color w:val="222222"/>
                      <w:sz w:val="18"/>
                      <w:szCs w:val="18"/>
                      <w:lang w:val="en-GB"/>
                    </w:rPr>
                    <w:t>(6), 280.</w:t>
                  </w:r>
                  <w:hyperlink r:id="rId11">
                    <w:r>
                      <w:rPr>
                        <w:rFonts w:ascii="Arial" w:eastAsia="Arial" w:hAnsi="Arial" w:cs="Arial"/>
                        <w:color w:val="222222"/>
                        <w:sz w:val="18"/>
                        <w:szCs w:val="18"/>
                        <w:lang w:val="en-GB"/>
                      </w:rPr>
                      <w:t xml:space="preserve"> </w:t>
                    </w:r>
                  </w:hyperlink>
                  <w:hyperlink r:id="rId12">
                    <w:r>
                      <w:rPr>
                        <w:rFonts w:ascii="Arial" w:eastAsia="Arial" w:hAnsi="Arial" w:cs="Arial"/>
                        <w:color w:val="1155CC"/>
                        <w:sz w:val="18"/>
                        <w:szCs w:val="18"/>
                        <w:u w:val="single"/>
                        <w:lang w:val="en-GB"/>
                      </w:rPr>
                      <w:t>https://doi.org/10.3390/jrfm14060280</w:t>
                    </w:r>
                  </w:hyperlink>
                </w:p>
              </w:tc>
            </w:tr>
            <w:tr w:rsidR="006F1E61" w14:paraId="3B90C80D" w14:textId="77777777">
              <w:trPr>
                <w:cantSplit/>
              </w:trPr>
              <w:tc>
                <w:tcPr>
                  <w:tcW w:w="6118" w:type="dxa"/>
                </w:tcPr>
                <w:p w14:paraId="78978E53" w14:textId="77777777" w:rsidR="006F1E61" w:rsidRDefault="000B4BE1">
                  <w:pPr>
                    <w:pStyle w:val="Nagwek3"/>
                    <w:spacing w:before="60" w:after="40"/>
                    <w:rPr>
                      <w:sz w:val="16"/>
                      <w:szCs w:val="16"/>
                    </w:rPr>
                  </w:pPr>
                  <w:r>
                    <w:rPr>
                      <w:rFonts w:ascii="Arial" w:eastAsia="Arial" w:hAnsi="Arial" w:cs="Arial"/>
                      <w:sz w:val="18"/>
                      <w:szCs w:val="18"/>
                      <w:lang w:val="en-GB"/>
                    </w:rPr>
                    <w:t>Optional:</w:t>
                  </w:r>
                </w:p>
                <w:p w14:paraId="693BF0C6" w14:textId="77777777" w:rsidR="006F1E61" w:rsidRDefault="000B4BE1">
                  <w:pPr>
                    <w:keepLines/>
                    <w:numPr>
                      <w:ilvl w:val="0"/>
                      <w:numId w:val="19"/>
                    </w:numPr>
                    <w:spacing w:after="100"/>
                    <w:ind w:left="227" w:hanging="181"/>
                    <w:rPr>
                      <w:sz w:val="16"/>
                      <w:szCs w:val="16"/>
                    </w:rPr>
                  </w:pPr>
                  <w:r>
                    <w:rPr>
                      <w:rFonts w:ascii="Arial" w:eastAsia="Arial" w:hAnsi="Arial" w:cs="Arial"/>
                      <w:sz w:val="18"/>
                      <w:szCs w:val="18"/>
                      <w:lang w:val="en-GB"/>
                    </w:rPr>
                    <w:t>Gra</w:t>
                  </w:r>
                  <w:r>
                    <w:rPr>
                      <w:rFonts w:ascii="Arial" w:eastAsia="Arial" w:hAnsi="Arial" w:cs="Arial"/>
                      <w:sz w:val="18"/>
                      <w:szCs w:val="18"/>
                      <w:lang w:val="en-GB"/>
                    </w:rPr>
                    <w:t xml:space="preserve">bowski, M. (2022). Virtual IBAN as a service in the law of the European Union and Poland. </w:t>
                  </w:r>
                  <w:r>
                    <w:rPr>
                      <w:rFonts w:ascii="Arial" w:eastAsia="Arial" w:hAnsi="Arial" w:cs="Arial"/>
                      <w:i/>
                      <w:iCs/>
                      <w:sz w:val="18"/>
                      <w:szCs w:val="18"/>
                      <w:lang w:val="en-GB"/>
                    </w:rPr>
                    <w:t>Journal of Risk and Financial Management, 15</w:t>
                  </w:r>
                  <w:r>
                    <w:rPr>
                      <w:rFonts w:ascii="Arial" w:eastAsia="Arial" w:hAnsi="Arial" w:cs="Arial"/>
                      <w:sz w:val="18"/>
                      <w:szCs w:val="18"/>
                      <w:lang w:val="en-GB"/>
                    </w:rPr>
                    <w:t>(12), 566.</w:t>
                  </w:r>
                  <w:hyperlink r:id="rId13">
                    <w:r>
                      <w:rPr>
                        <w:rFonts w:ascii="Arial" w:eastAsia="Arial" w:hAnsi="Arial" w:cs="Arial"/>
                        <w:sz w:val="18"/>
                        <w:szCs w:val="18"/>
                        <w:lang w:val="en-GB"/>
                      </w:rPr>
                      <w:t xml:space="preserve"> </w:t>
                    </w:r>
                  </w:hyperlink>
                  <w:hyperlink r:id="rId14">
                    <w:r>
                      <w:rPr>
                        <w:rFonts w:ascii="Arial" w:eastAsia="Arial" w:hAnsi="Arial" w:cs="Arial"/>
                        <w:color w:val="1155CC"/>
                        <w:sz w:val="18"/>
                        <w:szCs w:val="18"/>
                        <w:u w:val="single"/>
                        <w:lang w:val="en-GB"/>
                      </w:rPr>
                      <w:t>https://doi.org/10.3390/jrfm15120566</w:t>
                    </w:r>
                    <w:r>
                      <w:rPr>
                        <w:rFonts w:ascii="Arial" w:eastAsia="Arial" w:hAnsi="Arial" w:cs="Arial"/>
                        <w:color w:val="1155CC"/>
                        <w:sz w:val="18"/>
                        <w:szCs w:val="18"/>
                        <w:u w:val="single"/>
                        <w:lang w:val="en-GB"/>
                      </w:rPr>
                      <w:br/>
                    </w:r>
                  </w:hyperlink>
                </w:p>
              </w:tc>
            </w:tr>
            <w:tr w:rsidR="006F1E61" w14:paraId="02BDA2E0" w14:textId="77777777">
              <w:trPr>
                <w:cantSplit/>
              </w:trPr>
              <w:tc>
                <w:tcPr>
                  <w:tcW w:w="6118" w:type="dxa"/>
                </w:tcPr>
                <w:p w14:paraId="3C5778AF" w14:textId="77777777" w:rsidR="006F1E61" w:rsidRDefault="000B4BE1">
                  <w:pPr>
                    <w:keepLines/>
                    <w:numPr>
                      <w:ilvl w:val="0"/>
                      <w:numId w:val="19"/>
                    </w:numPr>
                    <w:spacing w:after="100"/>
                    <w:ind w:left="227" w:hanging="181"/>
                    <w:rPr>
                      <w:sz w:val="16"/>
                      <w:szCs w:val="16"/>
                    </w:rPr>
                  </w:pPr>
                  <w:r>
                    <w:rPr>
                      <w:rFonts w:ascii="Arial" w:eastAsia="Arial" w:hAnsi="Arial" w:cs="Arial"/>
                      <w:sz w:val="18"/>
                      <w:szCs w:val="18"/>
                      <w:lang w:val="en-GB"/>
                    </w:rPr>
                    <w:t xml:space="preserve">Grabowski, M. (2024). Account information and payment initiation services and the related AML obligations in the law of the European Union. </w:t>
                  </w:r>
                  <w:r>
                    <w:rPr>
                      <w:rFonts w:ascii="Arial" w:eastAsia="Arial" w:hAnsi="Arial" w:cs="Arial"/>
                      <w:i/>
                      <w:iCs/>
                      <w:sz w:val="18"/>
                      <w:szCs w:val="18"/>
                      <w:lang w:val="en-GB"/>
                    </w:rPr>
                    <w:t>FinTech, 3</w:t>
                  </w:r>
                  <w:r>
                    <w:rPr>
                      <w:rFonts w:ascii="Arial" w:eastAsia="Arial" w:hAnsi="Arial" w:cs="Arial"/>
                      <w:sz w:val="18"/>
                      <w:szCs w:val="18"/>
                      <w:lang w:val="en-GB"/>
                    </w:rPr>
                    <w:t>(1), 173–183.</w:t>
                  </w:r>
                  <w:hyperlink r:id="rId15">
                    <w:r>
                      <w:rPr>
                        <w:rFonts w:ascii="Arial" w:eastAsia="Arial" w:hAnsi="Arial" w:cs="Arial"/>
                        <w:sz w:val="18"/>
                        <w:szCs w:val="18"/>
                        <w:lang w:val="en-GB"/>
                      </w:rPr>
                      <w:t xml:space="preserve"> </w:t>
                    </w:r>
                  </w:hyperlink>
                  <w:hyperlink r:id="rId16">
                    <w:r>
                      <w:rPr>
                        <w:rFonts w:ascii="Arial" w:eastAsia="Arial" w:hAnsi="Arial" w:cs="Arial"/>
                        <w:color w:val="1155CC"/>
                        <w:sz w:val="18"/>
                        <w:szCs w:val="18"/>
                        <w:u w:val="single"/>
                        <w:lang w:val="en-GB"/>
                      </w:rPr>
                      <w:t>https://doi.org/10.3390/fintech3010011</w:t>
                    </w:r>
                    <w:r>
                      <w:rPr>
                        <w:rFonts w:ascii="Arial" w:eastAsia="Arial" w:hAnsi="Arial" w:cs="Arial"/>
                        <w:color w:val="1155CC"/>
                        <w:sz w:val="18"/>
                        <w:szCs w:val="18"/>
                        <w:u w:val="single"/>
                        <w:lang w:val="en-GB"/>
                      </w:rPr>
                      <w:br/>
                    </w:r>
                  </w:hyperlink>
                </w:p>
              </w:tc>
            </w:tr>
            <w:tr w:rsidR="006F1E61" w14:paraId="5F083D91" w14:textId="77777777">
              <w:trPr>
                <w:cantSplit/>
              </w:trPr>
              <w:tc>
                <w:tcPr>
                  <w:tcW w:w="6118" w:type="dxa"/>
                </w:tcPr>
                <w:p w14:paraId="401E21EC" w14:textId="77777777" w:rsidR="006F1E61" w:rsidRDefault="000B4BE1">
                  <w:pPr>
                    <w:keepLines/>
                    <w:numPr>
                      <w:ilvl w:val="0"/>
                      <w:numId w:val="19"/>
                    </w:numPr>
                    <w:spacing w:after="100"/>
                    <w:ind w:left="227" w:hanging="181"/>
                    <w:rPr>
                      <w:sz w:val="16"/>
                      <w:szCs w:val="16"/>
                    </w:rPr>
                  </w:pPr>
                  <w:r>
                    <w:rPr>
                      <w:rFonts w:ascii="Arial" w:eastAsia="Arial" w:hAnsi="Arial" w:cs="Arial"/>
                      <w:sz w:val="18"/>
                      <w:szCs w:val="18"/>
                      <w:lang w:val="en-GB"/>
                    </w:rPr>
                    <w:t xml:space="preserve">Górka, J. (Ed.). (2016). </w:t>
                  </w:r>
                  <w:r>
                    <w:rPr>
                      <w:rFonts w:ascii="Arial" w:eastAsia="Arial" w:hAnsi="Arial" w:cs="Arial"/>
                      <w:i/>
                      <w:iCs/>
                      <w:sz w:val="18"/>
                      <w:szCs w:val="18"/>
                      <w:lang w:val="en-GB"/>
                    </w:rPr>
                    <w:t>Transforming payment systems in Europe</w:t>
                  </w:r>
                  <w:r>
                    <w:rPr>
                      <w:rFonts w:ascii="Arial" w:eastAsia="Arial" w:hAnsi="Arial" w:cs="Arial"/>
                      <w:sz w:val="18"/>
                      <w:szCs w:val="18"/>
                      <w:lang w:val="en-GB"/>
                    </w:rPr>
                    <w:t>. Palgrave Macmillan.</w:t>
                  </w:r>
                </w:p>
              </w:tc>
            </w:tr>
          </w:tbl>
          <w:p w14:paraId="5A2EC48F" w14:textId="77777777" w:rsidR="006F1E61" w:rsidRDefault="006F1E61">
            <w:pPr>
              <w:spacing w:line="20" w:lineRule="exact"/>
            </w:pPr>
          </w:p>
        </w:tc>
      </w:tr>
      <w:tr w:rsidR="00325422" w:rsidRPr="000C0EC7" w14:paraId="504C3826"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1DC8AF3D" w14:textId="77777777" w:rsidR="00325422" w:rsidRPr="004D621E" w:rsidRDefault="00B06052" w:rsidP="004D621E">
            <w:pPr>
              <w:spacing w:line="276" w:lineRule="auto"/>
              <w:rPr>
                <w:lang w:val="en-GB"/>
              </w:rPr>
            </w:pPr>
            <w:r w:rsidRPr="004D621E">
              <w:rPr>
                <w:lang w:val="en-GB"/>
              </w:rPr>
              <w:t>Internship as part of the course</w:t>
            </w:r>
            <w:r w:rsidR="00325422" w:rsidRPr="004D621E">
              <w:rPr>
                <w:lang w:val="en-GB"/>
              </w:rPr>
              <w:t xml:space="preserve"> </w:t>
            </w:r>
          </w:p>
        </w:tc>
        <w:tc>
          <w:tcPr>
            <w:tcW w:w="6339" w:type="dxa"/>
            <w:tcBorders>
              <w:top w:val="single" w:sz="4" w:space="0" w:color="000000"/>
              <w:left w:val="single" w:sz="4" w:space="0" w:color="000000"/>
              <w:bottom w:val="single" w:sz="4" w:space="0" w:color="000000"/>
              <w:right w:val="single" w:sz="4" w:space="0" w:color="000000"/>
            </w:tcBorders>
          </w:tcPr>
          <w:p w14:paraId="36F7823D" w14:textId="77777777" w:rsidR="006F1E61" w:rsidRDefault="000B4BE1">
            <w:pPr>
              <w:keepLines/>
              <w:spacing w:after="40" w:line="259" w:lineRule="auto"/>
              <w:rPr>
                <w:sz w:val="16"/>
                <w:szCs w:val="16"/>
              </w:rPr>
            </w:pPr>
            <w:r>
              <w:rPr>
                <w:rFonts w:ascii="Arial" w:eastAsia="Arial" w:hAnsi="Arial" w:cs="Arial"/>
                <w:sz w:val="18"/>
                <w:szCs w:val="18"/>
                <w:lang w:val="en-GB"/>
              </w:rPr>
              <w:t>Professional practice is not required to complete the course</w:t>
            </w:r>
          </w:p>
        </w:tc>
      </w:tr>
      <w:tr w:rsidR="00325422" w:rsidRPr="004D621E" w14:paraId="2202F402"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1712E96A" w14:textId="77777777" w:rsidR="00325422" w:rsidRPr="004D621E" w:rsidRDefault="00B06052" w:rsidP="004D621E">
            <w:pPr>
              <w:spacing w:line="276" w:lineRule="auto"/>
            </w:pPr>
            <w:proofErr w:type="spellStart"/>
            <w:r w:rsidRPr="004D621E">
              <w:t>Coordinators</w:t>
            </w:r>
            <w:proofErr w:type="spellEnd"/>
          </w:p>
        </w:tc>
        <w:tc>
          <w:tcPr>
            <w:tcW w:w="6339" w:type="dxa"/>
            <w:tcBorders>
              <w:top w:val="single" w:sz="4" w:space="0" w:color="000000"/>
              <w:left w:val="single" w:sz="4" w:space="0" w:color="000000"/>
              <w:bottom w:val="single" w:sz="4" w:space="0" w:color="000000"/>
              <w:right w:val="single" w:sz="4" w:space="0" w:color="000000"/>
            </w:tcBorders>
          </w:tcPr>
          <w:p w14:paraId="4B9158A8" w14:textId="77777777" w:rsidR="006F1E61" w:rsidRDefault="000B4BE1">
            <w:pPr>
              <w:keepLines/>
              <w:spacing w:after="40" w:line="259" w:lineRule="auto"/>
            </w:pPr>
            <w:r>
              <w:rPr>
                <w:rFonts w:ascii="Arial" w:eastAsia="Arial" w:hAnsi="Arial" w:cs="Arial"/>
                <w:sz w:val="18"/>
                <w:szCs w:val="18"/>
                <w:lang w:val="en-GB"/>
              </w:rPr>
              <w:t>Dr Michał Grabowski</w:t>
            </w:r>
          </w:p>
        </w:tc>
      </w:tr>
      <w:tr w:rsidR="00325422" w:rsidRPr="004D621E" w14:paraId="7EEE008D" w14:textId="77777777" w:rsidTr="00662E4B">
        <w:trPr>
          <w:cantSplit/>
          <w:trHeight w:val="216"/>
        </w:trPr>
        <w:tc>
          <w:tcPr>
            <w:tcW w:w="3118" w:type="dxa"/>
            <w:gridSpan w:val="2"/>
            <w:tcBorders>
              <w:top w:val="single" w:sz="4" w:space="0" w:color="000000"/>
              <w:left w:val="single" w:sz="4" w:space="0" w:color="000000"/>
              <w:bottom w:val="single" w:sz="4" w:space="0" w:color="000000"/>
              <w:right w:val="single" w:sz="4" w:space="0" w:color="000000"/>
            </w:tcBorders>
          </w:tcPr>
          <w:p w14:paraId="6657B56F" w14:textId="77777777" w:rsidR="00325422" w:rsidRPr="004D621E" w:rsidRDefault="00B06052" w:rsidP="004D621E">
            <w:pPr>
              <w:spacing w:line="276" w:lineRule="auto"/>
            </w:pPr>
            <w:proofErr w:type="spellStart"/>
            <w:r w:rsidRPr="004D621E">
              <w:t>Group</w:t>
            </w:r>
            <w:proofErr w:type="spellEnd"/>
            <w:r w:rsidRPr="004D621E">
              <w:t xml:space="preserve"> </w:t>
            </w:r>
            <w:proofErr w:type="spellStart"/>
            <w:r w:rsidRPr="004D621E">
              <w:t>instructors</w:t>
            </w:r>
            <w:proofErr w:type="spellEnd"/>
          </w:p>
        </w:tc>
        <w:tc>
          <w:tcPr>
            <w:tcW w:w="6339" w:type="dxa"/>
            <w:tcBorders>
              <w:top w:val="single" w:sz="4" w:space="0" w:color="000000"/>
              <w:left w:val="single" w:sz="4" w:space="0" w:color="000000"/>
              <w:bottom w:val="single" w:sz="4" w:space="0" w:color="000000"/>
              <w:right w:val="single" w:sz="4" w:space="0" w:color="000000"/>
            </w:tcBorders>
          </w:tcPr>
          <w:p w14:paraId="4DD852D1" w14:textId="77777777" w:rsidR="006F1E61" w:rsidRDefault="000B4BE1">
            <w:pPr>
              <w:keepLines/>
              <w:spacing w:after="40" w:line="259" w:lineRule="auto"/>
            </w:pPr>
            <w:r>
              <w:rPr>
                <w:rFonts w:ascii="Arial" w:eastAsia="Arial" w:hAnsi="Arial" w:cs="Arial"/>
                <w:sz w:val="18"/>
                <w:szCs w:val="18"/>
                <w:lang w:val="en-GB"/>
              </w:rPr>
              <w:t>Dr Michał Grabowski</w:t>
            </w:r>
          </w:p>
        </w:tc>
      </w:tr>
      <w:tr w:rsidR="00325422" w:rsidRPr="004D621E" w14:paraId="5453055E" w14:textId="77777777" w:rsidTr="00662E4B">
        <w:trPr>
          <w:cantSplit/>
          <w:trHeight w:val="218"/>
        </w:trPr>
        <w:tc>
          <w:tcPr>
            <w:tcW w:w="3118" w:type="dxa"/>
            <w:gridSpan w:val="2"/>
            <w:tcBorders>
              <w:top w:val="single" w:sz="4" w:space="0" w:color="000000"/>
              <w:left w:val="single" w:sz="4" w:space="0" w:color="000000"/>
              <w:bottom w:val="single" w:sz="4" w:space="0" w:color="000000"/>
              <w:right w:val="single" w:sz="4" w:space="0" w:color="000000"/>
            </w:tcBorders>
          </w:tcPr>
          <w:p w14:paraId="0B981F41" w14:textId="77777777" w:rsidR="00325422" w:rsidRPr="004D621E" w:rsidRDefault="00B06052" w:rsidP="004D621E">
            <w:pPr>
              <w:spacing w:line="276" w:lineRule="auto"/>
            </w:pPr>
            <w:r w:rsidRPr="004D621E">
              <w:t>Notes</w:t>
            </w:r>
            <w:r w:rsidR="00325422" w:rsidRPr="004D621E">
              <w:t xml:space="preserve"> </w:t>
            </w:r>
          </w:p>
        </w:tc>
        <w:tc>
          <w:tcPr>
            <w:tcW w:w="6339" w:type="dxa"/>
            <w:tcBorders>
              <w:top w:val="single" w:sz="4" w:space="0" w:color="000000"/>
              <w:left w:val="single" w:sz="4" w:space="0" w:color="000000"/>
              <w:bottom w:val="single" w:sz="4" w:space="0" w:color="000000"/>
              <w:right w:val="single" w:sz="4" w:space="0" w:color="000000"/>
            </w:tcBorders>
          </w:tcPr>
          <w:p w14:paraId="65F3C82B" w14:textId="77777777" w:rsidR="006F1E61" w:rsidRDefault="006F1E61">
            <w:pPr>
              <w:keepLines/>
              <w:spacing w:after="40" w:line="259" w:lineRule="auto"/>
              <w:rPr>
                <w:sz w:val="16"/>
                <w:szCs w:val="16"/>
              </w:rPr>
            </w:pPr>
          </w:p>
        </w:tc>
      </w:tr>
    </w:tbl>
    <w:p w14:paraId="1001C8A2" w14:textId="77777777" w:rsidR="00325422" w:rsidRPr="004D621E" w:rsidRDefault="00325422" w:rsidP="00325422">
      <w:pPr>
        <w:spacing w:after="0" w:line="276" w:lineRule="auto"/>
      </w:pPr>
      <w:r w:rsidRPr="004D621E">
        <w:t xml:space="preserve"> </w:t>
      </w:r>
    </w:p>
    <w:p w14:paraId="2F7AAE64" w14:textId="77777777" w:rsidR="00325422" w:rsidRPr="004D621E" w:rsidRDefault="00325422" w:rsidP="00325422">
      <w:pPr>
        <w:keepNext/>
        <w:spacing w:after="0" w:line="276" w:lineRule="auto"/>
        <w:ind w:left="-5"/>
      </w:pPr>
      <w:r w:rsidRPr="004D621E">
        <w:rPr>
          <w:b/>
        </w:rPr>
        <w:t xml:space="preserve">B. </w:t>
      </w:r>
      <w:proofErr w:type="spellStart"/>
      <w:r w:rsidR="00B06052" w:rsidRPr="004D621E">
        <w:rPr>
          <w:b/>
        </w:rPr>
        <w:t>Detailed</w:t>
      </w:r>
      <w:proofErr w:type="spellEnd"/>
      <w:r w:rsidR="00B06052" w:rsidRPr="004D621E">
        <w:rPr>
          <w:b/>
        </w:rPr>
        <w:t xml:space="preserve"> data</w:t>
      </w:r>
    </w:p>
    <w:tbl>
      <w:tblPr>
        <w:tblStyle w:val="TableGrid"/>
        <w:tblW w:w="9464" w:type="dxa"/>
        <w:tblInd w:w="-106" w:type="dxa"/>
        <w:tblLayout w:type="fixed"/>
        <w:tblCellMar>
          <w:top w:w="4" w:type="dxa"/>
          <w:left w:w="106" w:type="dxa"/>
          <w:right w:w="115" w:type="dxa"/>
        </w:tblCellMar>
        <w:tblLook w:val="04A0" w:firstRow="1" w:lastRow="0" w:firstColumn="1" w:lastColumn="0" w:noHBand="0" w:noVBand="1"/>
      </w:tblPr>
      <w:tblGrid>
        <w:gridCol w:w="3118"/>
        <w:gridCol w:w="6346"/>
      </w:tblGrid>
      <w:tr w:rsidR="00B06052" w:rsidRPr="004D621E" w14:paraId="609E77E2" w14:textId="77777777" w:rsidTr="00662E4B">
        <w:trPr>
          <w:trHeight w:val="216"/>
          <w:tblHeader/>
        </w:trPr>
        <w:tc>
          <w:tcPr>
            <w:tcW w:w="3118" w:type="dxa"/>
            <w:tcBorders>
              <w:top w:val="single" w:sz="4" w:space="0" w:color="000000"/>
              <w:left w:val="single" w:sz="4" w:space="0" w:color="000000"/>
              <w:bottom w:val="single" w:sz="4" w:space="0" w:color="000000"/>
              <w:right w:val="single" w:sz="4" w:space="0" w:color="000000"/>
            </w:tcBorders>
          </w:tcPr>
          <w:p w14:paraId="10810D5F" w14:textId="77777777" w:rsidR="00B06052" w:rsidRPr="004D621E" w:rsidRDefault="00B06052" w:rsidP="00B06052">
            <w:pPr>
              <w:spacing w:line="276" w:lineRule="auto"/>
              <w:ind w:left="4"/>
              <w:jc w:val="center"/>
            </w:pPr>
            <w:r w:rsidRPr="004D621E">
              <w:rPr>
                <w:b/>
              </w:rPr>
              <w:t>Name of the field</w:t>
            </w:r>
          </w:p>
        </w:tc>
        <w:tc>
          <w:tcPr>
            <w:tcW w:w="6346" w:type="dxa"/>
            <w:tcBorders>
              <w:top w:val="single" w:sz="4" w:space="0" w:color="000000"/>
              <w:left w:val="single" w:sz="4" w:space="0" w:color="000000"/>
              <w:bottom w:val="single" w:sz="4" w:space="0" w:color="000000"/>
              <w:right w:val="single" w:sz="4" w:space="0" w:color="000000"/>
            </w:tcBorders>
          </w:tcPr>
          <w:p w14:paraId="41EA9D39" w14:textId="77777777" w:rsidR="00B06052" w:rsidRPr="004D621E" w:rsidRDefault="00B06052" w:rsidP="00B06052">
            <w:pPr>
              <w:spacing w:line="276" w:lineRule="auto"/>
              <w:ind w:left="8"/>
              <w:jc w:val="center"/>
            </w:pPr>
            <w:r w:rsidRPr="004D621E">
              <w:rPr>
                <w:b/>
              </w:rPr>
              <w:t xml:space="preserve">Content </w:t>
            </w:r>
          </w:p>
        </w:tc>
      </w:tr>
      <w:tr w:rsidR="00325422" w:rsidRPr="004D621E" w14:paraId="2061FB52" w14:textId="77777777" w:rsidTr="00662E4B">
        <w:trPr>
          <w:cantSplit/>
          <w:trHeight w:val="218"/>
        </w:trPr>
        <w:tc>
          <w:tcPr>
            <w:tcW w:w="3118" w:type="dxa"/>
            <w:tcBorders>
              <w:top w:val="single" w:sz="4" w:space="0" w:color="000000"/>
              <w:left w:val="single" w:sz="4" w:space="0" w:color="000000"/>
              <w:bottom w:val="single" w:sz="4" w:space="0" w:color="000000"/>
              <w:right w:val="single" w:sz="4" w:space="0" w:color="000000"/>
            </w:tcBorders>
          </w:tcPr>
          <w:p w14:paraId="3A6A13AF" w14:textId="77777777" w:rsidR="00325422" w:rsidRPr="004D621E" w:rsidRDefault="00B06052" w:rsidP="00883FAD">
            <w:pPr>
              <w:spacing w:line="276" w:lineRule="auto"/>
            </w:pPr>
            <w:proofErr w:type="spellStart"/>
            <w:r w:rsidRPr="004D621E">
              <w:t>Group</w:t>
            </w:r>
            <w:proofErr w:type="spellEnd"/>
            <w:r w:rsidRPr="004D621E">
              <w:t xml:space="preserve"> </w:t>
            </w:r>
            <w:proofErr w:type="spellStart"/>
            <w:r w:rsidRPr="004D621E">
              <w:t>instructors</w:t>
            </w:r>
            <w:proofErr w:type="spellEnd"/>
            <w:r w:rsidRPr="004D621E">
              <w:t>:</w:t>
            </w:r>
          </w:p>
        </w:tc>
        <w:tc>
          <w:tcPr>
            <w:tcW w:w="6346" w:type="dxa"/>
            <w:tcBorders>
              <w:top w:val="single" w:sz="4" w:space="0" w:color="000000"/>
              <w:left w:val="single" w:sz="4" w:space="0" w:color="000000"/>
              <w:bottom w:val="single" w:sz="4" w:space="0" w:color="000000"/>
              <w:right w:val="single" w:sz="4" w:space="0" w:color="000000"/>
            </w:tcBorders>
          </w:tcPr>
          <w:p w14:paraId="128200B6" w14:textId="77777777" w:rsidR="006F1E61" w:rsidRDefault="000B4BE1">
            <w:pPr>
              <w:keepLines/>
              <w:spacing w:after="40" w:line="259" w:lineRule="auto"/>
            </w:pPr>
            <w:r>
              <w:rPr>
                <w:rFonts w:ascii="Arial" w:eastAsia="Arial" w:hAnsi="Arial" w:cs="Arial"/>
                <w:sz w:val="18"/>
                <w:szCs w:val="18"/>
                <w:lang w:val="en-GB"/>
              </w:rPr>
              <w:t>Michał Grabowski</w:t>
            </w:r>
          </w:p>
        </w:tc>
      </w:tr>
      <w:tr w:rsidR="00325422" w:rsidRPr="004D621E" w14:paraId="2739103C" w14:textId="77777777" w:rsidTr="00662E4B">
        <w:trPr>
          <w:cantSplit/>
          <w:trHeight w:val="216"/>
        </w:trPr>
        <w:tc>
          <w:tcPr>
            <w:tcW w:w="3118" w:type="dxa"/>
            <w:tcBorders>
              <w:top w:val="single" w:sz="4" w:space="0" w:color="000000"/>
              <w:left w:val="single" w:sz="4" w:space="0" w:color="000000"/>
              <w:bottom w:val="single" w:sz="4" w:space="0" w:color="000000"/>
              <w:right w:val="single" w:sz="4" w:space="0" w:color="000000"/>
            </w:tcBorders>
          </w:tcPr>
          <w:p w14:paraId="69F32AEA" w14:textId="77777777" w:rsidR="00325422" w:rsidRPr="004D621E" w:rsidRDefault="00B06052" w:rsidP="00883FAD">
            <w:pPr>
              <w:spacing w:line="276" w:lineRule="auto"/>
            </w:pPr>
            <w:proofErr w:type="spellStart"/>
            <w:r w:rsidRPr="004D621E">
              <w:lastRenderedPageBreak/>
              <w:t>Title</w:t>
            </w:r>
            <w:proofErr w:type="spellEnd"/>
            <w:r w:rsidR="00325422" w:rsidRPr="004D621E">
              <w:t xml:space="preserve"> </w:t>
            </w:r>
          </w:p>
        </w:tc>
        <w:tc>
          <w:tcPr>
            <w:tcW w:w="6346" w:type="dxa"/>
            <w:tcBorders>
              <w:top w:val="single" w:sz="4" w:space="0" w:color="000000"/>
              <w:left w:val="single" w:sz="4" w:space="0" w:color="000000"/>
              <w:bottom w:val="single" w:sz="4" w:space="0" w:color="000000"/>
              <w:right w:val="single" w:sz="4" w:space="0" w:color="000000"/>
            </w:tcBorders>
          </w:tcPr>
          <w:p w14:paraId="30C240B4" w14:textId="77777777" w:rsidR="006F1E61" w:rsidRDefault="000B4BE1">
            <w:pPr>
              <w:keepLines/>
              <w:spacing w:after="40" w:line="259" w:lineRule="auto"/>
              <w:rPr>
                <w:sz w:val="16"/>
                <w:szCs w:val="16"/>
              </w:rPr>
            </w:pPr>
            <w:r>
              <w:rPr>
                <w:rFonts w:ascii="Arial" w:eastAsia="Arial" w:hAnsi="Arial" w:cs="Arial"/>
                <w:b/>
                <w:bCs/>
                <w:sz w:val="18"/>
                <w:szCs w:val="18"/>
                <w:lang w:val="en-GB"/>
              </w:rPr>
              <w:t>Doctor of Laws, attorney-at-law</w:t>
            </w:r>
          </w:p>
        </w:tc>
      </w:tr>
      <w:tr w:rsidR="00325422" w:rsidRPr="004D621E" w14:paraId="4B052BA4" w14:textId="77777777" w:rsidTr="00662E4B">
        <w:trPr>
          <w:cantSplit/>
          <w:trHeight w:val="216"/>
        </w:trPr>
        <w:tc>
          <w:tcPr>
            <w:tcW w:w="3118" w:type="dxa"/>
            <w:tcBorders>
              <w:top w:val="single" w:sz="4" w:space="0" w:color="000000"/>
              <w:left w:val="single" w:sz="4" w:space="0" w:color="000000"/>
              <w:bottom w:val="single" w:sz="4" w:space="0" w:color="000000"/>
              <w:right w:val="single" w:sz="4" w:space="0" w:color="000000"/>
            </w:tcBorders>
          </w:tcPr>
          <w:p w14:paraId="53309547" w14:textId="77777777" w:rsidR="00325422" w:rsidRPr="004D621E" w:rsidRDefault="00B06052" w:rsidP="00883FAD">
            <w:pPr>
              <w:spacing w:line="276" w:lineRule="auto"/>
            </w:pPr>
            <w:proofErr w:type="spellStart"/>
            <w:r w:rsidRPr="004D621E">
              <w:t>Type</w:t>
            </w:r>
            <w:proofErr w:type="spellEnd"/>
            <w:r w:rsidRPr="004D621E">
              <w:t xml:space="preserve"> of </w:t>
            </w:r>
            <w:proofErr w:type="spellStart"/>
            <w:r w:rsidRPr="004D621E">
              <w:t>class</w:t>
            </w:r>
            <w:proofErr w:type="spellEnd"/>
            <w:r w:rsidRPr="004D621E">
              <w:t>:</w:t>
            </w:r>
          </w:p>
        </w:tc>
        <w:tc>
          <w:tcPr>
            <w:tcW w:w="6346" w:type="dxa"/>
            <w:tcBorders>
              <w:top w:val="single" w:sz="4" w:space="0" w:color="000000"/>
              <w:left w:val="single" w:sz="4" w:space="0" w:color="000000"/>
              <w:bottom w:val="single" w:sz="4" w:space="0" w:color="000000"/>
              <w:right w:val="single" w:sz="4" w:space="0" w:color="000000"/>
            </w:tcBorders>
          </w:tcPr>
          <w:p w14:paraId="09DBA993" w14:textId="77777777" w:rsidR="006F1E61" w:rsidRDefault="000B4BE1">
            <w:pPr>
              <w:keepLines/>
              <w:spacing w:after="40" w:line="259" w:lineRule="auto"/>
            </w:pPr>
            <w:r>
              <w:rPr>
                <w:rFonts w:ascii="Arial" w:eastAsia="Arial" w:hAnsi="Arial" w:cs="Arial"/>
                <w:sz w:val="18"/>
                <w:szCs w:val="18"/>
                <w:lang w:val="en-GB"/>
              </w:rPr>
              <w:t>Seminar (30 teaching hours)</w:t>
            </w:r>
          </w:p>
        </w:tc>
      </w:tr>
      <w:tr w:rsidR="00325422" w:rsidRPr="000C0EC7" w14:paraId="3F9AE675" w14:textId="77777777" w:rsidTr="00662E4B">
        <w:trPr>
          <w:trHeight w:val="216"/>
        </w:trPr>
        <w:tc>
          <w:tcPr>
            <w:tcW w:w="3118" w:type="dxa"/>
            <w:tcBorders>
              <w:top w:val="single" w:sz="4" w:space="0" w:color="000000"/>
              <w:left w:val="single" w:sz="4" w:space="0" w:color="000000"/>
              <w:bottom w:val="single" w:sz="4" w:space="0" w:color="000000"/>
              <w:right w:val="single" w:sz="4" w:space="0" w:color="000000"/>
            </w:tcBorders>
          </w:tcPr>
          <w:p w14:paraId="2068181C" w14:textId="77777777" w:rsidR="00325422" w:rsidRPr="00662E4B" w:rsidRDefault="00B06052" w:rsidP="00883FAD">
            <w:pPr>
              <w:spacing w:line="276" w:lineRule="auto"/>
              <w:rPr>
                <w:lang w:val="en-US"/>
              </w:rPr>
            </w:pPr>
            <w:r w:rsidRPr="00662E4B">
              <w:rPr>
                <w:lang w:val="en-US"/>
              </w:rPr>
              <w:t>Learning outcomes defined for didactic method used during the course</w:t>
            </w:r>
          </w:p>
        </w:tc>
        <w:tc>
          <w:tcPr>
            <w:tcW w:w="6346" w:type="dxa"/>
            <w:tcBorders>
              <w:top w:val="single" w:sz="4" w:space="0" w:color="000000"/>
              <w:left w:val="single" w:sz="4" w:space="0" w:color="000000"/>
              <w:bottom w:val="single" w:sz="4" w:space="0" w:color="000000"/>
              <w:right w:val="single" w:sz="4" w:space="0" w:color="000000"/>
            </w:tcBorders>
          </w:tcPr>
          <w:tbl>
            <w:tblPr>
              <w:tblStyle w:val="TableNormal"/>
              <w:tblW w:w="6125"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4A0" w:firstRow="1" w:lastRow="0" w:firstColumn="1" w:lastColumn="0" w:noHBand="0" w:noVBand="1"/>
            </w:tblPr>
            <w:tblGrid>
              <w:gridCol w:w="6125"/>
            </w:tblGrid>
            <w:tr w:rsidR="006F1E61" w14:paraId="266ED2D5" w14:textId="77777777">
              <w:trPr>
                <w:cantSplit/>
              </w:trPr>
              <w:tc>
                <w:tcPr>
                  <w:tcW w:w="6125" w:type="dxa"/>
                </w:tcPr>
                <w:p w14:paraId="5471A25E" w14:textId="77777777" w:rsidR="006F1E61" w:rsidRDefault="000B4BE1">
                  <w:pPr>
                    <w:keepLines/>
                    <w:spacing w:after="40"/>
                    <w:rPr>
                      <w:sz w:val="16"/>
                      <w:szCs w:val="16"/>
                    </w:rPr>
                  </w:pPr>
                  <w:r>
                    <w:rPr>
                      <w:rFonts w:ascii="Arial" w:eastAsia="Arial" w:hAnsi="Arial" w:cs="Arial"/>
                      <w:sz w:val="18"/>
                      <w:szCs w:val="18"/>
                      <w:lang w:val="en-GB"/>
                    </w:rPr>
                    <w:t>Student after completing the course:</w:t>
                  </w:r>
                </w:p>
              </w:tc>
            </w:tr>
            <w:tr w:rsidR="006F1E61" w14:paraId="00D8CD79" w14:textId="77777777">
              <w:trPr>
                <w:cantSplit/>
              </w:trPr>
              <w:tc>
                <w:tcPr>
                  <w:tcW w:w="6125" w:type="dxa"/>
                </w:tcPr>
                <w:p w14:paraId="049AF153" w14:textId="77777777" w:rsidR="006F1E61" w:rsidRDefault="000B4BE1">
                  <w:pPr>
                    <w:keepNext/>
                    <w:keepLines/>
                    <w:spacing w:before="60" w:after="40"/>
                    <w:rPr>
                      <w:sz w:val="16"/>
                      <w:szCs w:val="16"/>
                    </w:rPr>
                  </w:pPr>
                  <w:r>
                    <w:rPr>
                      <w:rFonts w:ascii="Arial" w:eastAsia="Arial" w:hAnsi="Arial" w:cs="Arial"/>
                      <w:b/>
                      <w:sz w:val="18"/>
                      <w:szCs w:val="18"/>
                      <w:lang w:val="en-GB"/>
                    </w:rPr>
                    <w:t>In terms of knowledge:</w:t>
                  </w:r>
                </w:p>
                <w:p w14:paraId="4728BC9E" w14:textId="77777777" w:rsidR="006F1E61" w:rsidRDefault="000B4BE1">
                  <w:pPr>
                    <w:keepLines/>
                    <w:numPr>
                      <w:ilvl w:val="0"/>
                      <w:numId w:val="20"/>
                    </w:numPr>
                    <w:spacing w:after="40"/>
                    <w:ind w:left="227" w:hanging="181"/>
                    <w:rPr>
                      <w:sz w:val="16"/>
                      <w:szCs w:val="16"/>
                    </w:rPr>
                  </w:pPr>
                  <w:r>
                    <w:rPr>
                      <w:rFonts w:ascii="Arial" w:eastAsia="Arial" w:hAnsi="Arial" w:cs="Arial"/>
                      <w:sz w:val="18"/>
                      <w:szCs w:val="18"/>
                      <w:lang w:val="en-GB"/>
                    </w:rPr>
                    <w:t>Knows and understands at an advanced level the terminology related to the legal aspects of digital finance within the discipline, legal sciences, economics and finance, and management and quality</w:t>
                  </w:r>
                  <w:r>
                    <w:rPr>
                      <w:rFonts w:ascii="Arial" w:eastAsia="Arial" w:hAnsi="Arial" w:cs="Arial"/>
                      <w:sz w:val="18"/>
                      <w:szCs w:val="18"/>
                      <w:lang w:val="en-GB"/>
                    </w:rPr>
                    <w:t xml:space="preserve"> sciences. (K_W01)</w:t>
                  </w:r>
                </w:p>
              </w:tc>
            </w:tr>
            <w:tr w:rsidR="006F1E61" w14:paraId="345B9731" w14:textId="77777777">
              <w:trPr>
                <w:cantSplit/>
              </w:trPr>
              <w:tc>
                <w:tcPr>
                  <w:tcW w:w="6125" w:type="dxa"/>
                </w:tcPr>
                <w:p w14:paraId="184F46CB" w14:textId="77777777" w:rsidR="006F1E61" w:rsidRDefault="000B4BE1">
                  <w:pPr>
                    <w:keepLines/>
                    <w:numPr>
                      <w:ilvl w:val="0"/>
                      <w:numId w:val="20"/>
                    </w:numPr>
                    <w:spacing w:after="40"/>
                    <w:ind w:left="227" w:hanging="181"/>
                    <w:rPr>
                      <w:sz w:val="16"/>
                      <w:szCs w:val="16"/>
                    </w:rPr>
                  </w:pPr>
                  <w:r>
                    <w:rPr>
                      <w:rFonts w:ascii="Arial" w:eastAsia="Arial" w:hAnsi="Arial" w:cs="Arial"/>
                      <w:sz w:val="18"/>
                      <w:szCs w:val="18"/>
                      <w:lang w:val="en-GB"/>
                    </w:rPr>
                    <w:t>Has an advanced knowledge and understanding of the legal structures related to digital finance. (K_W02)</w:t>
                  </w:r>
                </w:p>
              </w:tc>
            </w:tr>
            <w:tr w:rsidR="006F1E61" w14:paraId="4FCEC33C" w14:textId="77777777">
              <w:trPr>
                <w:cantSplit/>
              </w:trPr>
              <w:tc>
                <w:tcPr>
                  <w:tcW w:w="6125" w:type="dxa"/>
                </w:tcPr>
                <w:p w14:paraId="38C3EFAE" w14:textId="77777777" w:rsidR="006F1E61" w:rsidRDefault="000B4BE1">
                  <w:pPr>
                    <w:keepLines/>
                    <w:numPr>
                      <w:ilvl w:val="0"/>
                      <w:numId w:val="20"/>
                    </w:numPr>
                    <w:spacing w:after="40"/>
                    <w:ind w:left="227" w:hanging="181"/>
                    <w:rPr>
                      <w:sz w:val="16"/>
                      <w:szCs w:val="16"/>
                    </w:rPr>
                  </w:pPr>
                  <w:r>
                    <w:rPr>
                      <w:rFonts w:ascii="Arial" w:eastAsia="Arial" w:hAnsi="Arial" w:cs="Arial"/>
                      <w:sz w:val="18"/>
                      <w:szCs w:val="18"/>
                      <w:lang w:val="en-GB"/>
                    </w:rPr>
                    <w:t>Demonstrates advanced knowledge and understanding of the theories and legal models related to digital finance. (K_W03)</w:t>
                  </w:r>
                </w:p>
              </w:tc>
            </w:tr>
            <w:tr w:rsidR="006F1E61" w14:paraId="7C55147F" w14:textId="77777777">
              <w:trPr>
                <w:cantSplit/>
              </w:trPr>
              <w:tc>
                <w:tcPr>
                  <w:tcW w:w="6125" w:type="dxa"/>
                </w:tcPr>
                <w:p w14:paraId="4A24AEDC" w14:textId="77777777" w:rsidR="006F1E61" w:rsidRDefault="000B4BE1">
                  <w:pPr>
                    <w:keepLines/>
                    <w:numPr>
                      <w:ilvl w:val="0"/>
                      <w:numId w:val="20"/>
                    </w:numPr>
                    <w:spacing w:after="40"/>
                    <w:ind w:left="227" w:hanging="181"/>
                    <w:rPr>
                      <w:sz w:val="16"/>
                      <w:szCs w:val="16"/>
                    </w:rPr>
                  </w:pPr>
                  <w:r>
                    <w:rPr>
                      <w:rFonts w:ascii="Arial" w:eastAsia="Arial" w:hAnsi="Arial" w:cs="Arial"/>
                      <w:sz w:val="18"/>
                      <w:szCs w:val="18"/>
                      <w:lang w:val="en-GB"/>
                    </w:rPr>
                    <w:t>Knows and u</w:t>
                  </w:r>
                  <w:r>
                    <w:rPr>
                      <w:rFonts w:ascii="Arial" w:eastAsia="Arial" w:hAnsi="Arial" w:cs="Arial"/>
                      <w:sz w:val="18"/>
                      <w:szCs w:val="18"/>
                      <w:lang w:val="en-GB"/>
                    </w:rPr>
                    <w:t>nderstands at an advanced level the legal regulations relating to digital finance. (K_W04)</w:t>
                  </w:r>
                </w:p>
              </w:tc>
            </w:tr>
            <w:tr w:rsidR="006F1E61" w14:paraId="0F91ED65" w14:textId="77777777">
              <w:trPr>
                <w:cantSplit/>
              </w:trPr>
              <w:tc>
                <w:tcPr>
                  <w:tcW w:w="6125" w:type="dxa"/>
                </w:tcPr>
                <w:p w14:paraId="67003F86" w14:textId="77777777" w:rsidR="006F1E61" w:rsidRDefault="000B4BE1">
                  <w:pPr>
                    <w:keepLines/>
                    <w:numPr>
                      <w:ilvl w:val="0"/>
                      <w:numId w:val="20"/>
                    </w:numPr>
                    <w:spacing w:after="40"/>
                    <w:ind w:left="227" w:hanging="181"/>
                    <w:rPr>
                      <w:rFonts w:ascii="Times New Roman" w:eastAsia="Times New Roman" w:hAnsi="Times New Roman" w:cs="Times New Roman"/>
                      <w:sz w:val="16"/>
                      <w:szCs w:val="16"/>
                    </w:rPr>
                  </w:pPr>
                  <w:r>
                    <w:rPr>
                      <w:rFonts w:ascii="Arial" w:eastAsia="Arial" w:hAnsi="Arial" w:cs="Arial"/>
                      <w:sz w:val="18"/>
                      <w:szCs w:val="18"/>
                      <w:lang w:val="en-GB"/>
                    </w:rPr>
                    <w:t>Knows and understands technological processes and phenomena to an advanced degree,</w:t>
                  </w:r>
                  <w:r>
                    <w:rPr>
                      <w:rFonts w:ascii="Arial" w:eastAsia="Arial" w:hAnsi="Arial" w:cs="Arial"/>
                      <w:sz w:val="18"/>
                      <w:szCs w:val="18"/>
                      <w:lang w:val="en-GB"/>
                    </w:rPr>
                    <w:t>social, political, legal and economic issues and their impact on the legal regulations of digital finance. (K_W05)</w:t>
                  </w:r>
                </w:p>
              </w:tc>
            </w:tr>
            <w:tr w:rsidR="006F1E61" w14:paraId="4739C6B4" w14:textId="77777777">
              <w:trPr>
                <w:cantSplit/>
              </w:trPr>
              <w:tc>
                <w:tcPr>
                  <w:tcW w:w="6125" w:type="dxa"/>
                </w:tcPr>
                <w:p w14:paraId="6C4CFCE0" w14:textId="77777777" w:rsidR="006F1E61" w:rsidRDefault="000B4BE1">
                  <w:pPr>
                    <w:keepNext/>
                    <w:keepLines/>
                    <w:spacing w:before="60" w:after="40"/>
                    <w:rPr>
                      <w:sz w:val="16"/>
                      <w:szCs w:val="16"/>
                    </w:rPr>
                  </w:pPr>
                  <w:r>
                    <w:rPr>
                      <w:rFonts w:ascii="Arial" w:eastAsia="Arial" w:hAnsi="Arial" w:cs="Arial"/>
                      <w:b/>
                      <w:sz w:val="18"/>
                      <w:szCs w:val="18"/>
                      <w:lang w:val="en-GB"/>
                    </w:rPr>
                    <w:t>In terms of skills:</w:t>
                  </w:r>
                </w:p>
                <w:p w14:paraId="608E1EA0" w14:textId="77777777" w:rsidR="006F1E61" w:rsidRDefault="000B4BE1">
                  <w:pPr>
                    <w:keepLines/>
                    <w:numPr>
                      <w:ilvl w:val="0"/>
                      <w:numId w:val="21"/>
                    </w:numPr>
                    <w:spacing w:after="40"/>
                    <w:ind w:left="227" w:hanging="181"/>
                    <w:rPr>
                      <w:sz w:val="16"/>
                      <w:szCs w:val="16"/>
                    </w:rPr>
                  </w:pPr>
                  <w:r>
                    <w:rPr>
                      <w:rFonts w:ascii="Arial" w:eastAsia="Arial" w:hAnsi="Arial" w:cs="Arial"/>
                      <w:sz w:val="18"/>
                      <w:szCs w:val="18"/>
                      <w:lang w:val="en-GB"/>
                    </w:rPr>
                    <w:t>Can use the theory of discipline, legal sciences, economics and finance, management and quality sciences to recognize, diagnose and solve problems related to the application of digital finance law, using appropriate selection of sources and adapting existi</w:t>
                  </w:r>
                  <w:r>
                    <w:rPr>
                      <w:rFonts w:ascii="Arial" w:eastAsia="Arial" w:hAnsi="Arial" w:cs="Arial"/>
                      <w:sz w:val="18"/>
                      <w:szCs w:val="18"/>
                      <w:lang w:val="en-GB"/>
                    </w:rPr>
                    <w:t>ng methods. (K_U01)</w:t>
                  </w:r>
                </w:p>
              </w:tc>
            </w:tr>
            <w:tr w:rsidR="006F1E61" w14:paraId="2D7E3C39" w14:textId="77777777">
              <w:trPr>
                <w:cantSplit/>
              </w:trPr>
              <w:tc>
                <w:tcPr>
                  <w:tcW w:w="6125" w:type="dxa"/>
                </w:tcPr>
                <w:p w14:paraId="0E88B46C" w14:textId="77777777" w:rsidR="006F1E61" w:rsidRDefault="000B4BE1">
                  <w:pPr>
                    <w:keepLines/>
                    <w:numPr>
                      <w:ilvl w:val="0"/>
                      <w:numId w:val="21"/>
                    </w:numPr>
                    <w:spacing w:after="40"/>
                    <w:ind w:left="227" w:hanging="181"/>
                    <w:rPr>
                      <w:sz w:val="16"/>
                      <w:szCs w:val="16"/>
                    </w:rPr>
                  </w:pPr>
                  <w:r>
                    <w:rPr>
                      <w:rFonts w:ascii="Arial" w:eastAsia="Arial" w:hAnsi="Arial" w:cs="Arial"/>
                      <w:sz w:val="18"/>
                      <w:szCs w:val="18"/>
                      <w:lang w:val="en-GB"/>
                    </w:rPr>
                    <w:t>Is able to correctly interpret technological, social, political, legal and economic processes and phenomena and their impact on digital finance law, using the appropriate selection of sources.(K_U02)</w:t>
                  </w:r>
                </w:p>
              </w:tc>
            </w:tr>
            <w:tr w:rsidR="006F1E61" w14:paraId="49768714" w14:textId="77777777">
              <w:trPr>
                <w:cantSplit/>
              </w:trPr>
              <w:tc>
                <w:tcPr>
                  <w:tcW w:w="6125" w:type="dxa"/>
                </w:tcPr>
                <w:p w14:paraId="5ED917E5" w14:textId="77777777" w:rsidR="006F1E61" w:rsidRDefault="000B4BE1">
                  <w:pPr>
                    <w:keepLines/>
                    <w:numPr>
                      <w:ilvl w:val="0"/>
                      <w:numId w:val="21"/>
                    </w:numPr>
                    <w:spacing w:after="40"/>
                    <w:ind w:left="227" w:hanging="181"/>
                    <w:rPr>
                      <w:sz w:val="16"/>
                      <w:szCs w:val="16"/>
                    </w:rPr>
                  </w:pPr>
                  <w:r>
                    <w:rPr>
                      <w:rFonts w:ascii="Arial" w:eastAsia="Arial" w:hAnsi="Arial" w:cs="Arial"/>
                      <w:sz w:val="18"/>
                      <w:szCs w:val="18"/>
                      <w:lang w:val="en-GB"/>
                    </w:rPr>
                    <w:t>Is able to independently and colla</w:t>
                  </w:r>
                  <w:r>
                    <w:rPr>
                      <w:rFonts w:ascii="Arial" w:eastAsia="Arial" w:hAnsi="Arial" w:cs="Arial"/>
                      <w:sz w:val="18"/>
                      <w:szCs w:val="18"/>
                      <w:lang w:val="en-GB"/>
                    </w:rPr>
                    <w:t>boratively prepare analyses and diagnoses on digital finance law and present them communicatively  in English (K_U03)</w:t>
                  </w:r>
                </w:p>
              </w:tc>
            </w:tr>
            <w:tr w:rsidR="006F1E61" w14:paraId="34A97BA0" w14:textId="77777777">
              <w:trPr>
                <w:cantSplit/>
              </w:trPr>
              <w:tc>
                <w:tcPr>
                  <w:tcW w:w="6125" w:type="dxa"/>
                </w:tcPr>
                <w:p w14:paraId="6328F0C4" w14:textId="77777777" w:rsidR="006F1E61" w:rsidRDefault="000B4BE1">
                  <w:pPr>
                    <w:keepLines/>
                    <w:spacing w:after="40"/>
                    <w:rPr>
                      <w:sz w:val="16"/>
                      <w:szCs w:val="16"/>
                    </w:rPr>
                  </w:pPr>
                  <w:r>
                    <w:rPr>
                      <w:rFonts w:ascii="Arial" w:eastAsia="Arial" w:hAnsi="Arial" w:cs="Arial"/>
                      <w:sz w:val="18"/>
                      <w:szCs w:val="18"/>
                      <w:lang w:val="en-GB"/>
                    </w:rPr>
                    <w:t>(K_U03)</w:t>
                  </w:r>
                </w:p>
              </w:tc>
            </w:tr>
            <w:tr w:rsidR="006F1E61" w14:paraId="2BD0BA66" w14:textId="77777777">
              <w:trPr>
                <w:cantSplit/>
              </w:trPr>
              <w:tc>
                <w:tcPr>
                  <w:tcW w:w="6125" w:type="dxa"/>
                </w:tcPr>
                <w:p w14:paraId="64F87C98" w14:textId="77777777" w:rsidR="006F1E61" w:rsidRDefault="000B4BE1">
                  <w:pPr>
                    <w:keepLines/>
                    <w:numPr>
                      <w:ilvl w:val="0"/>
                      <w:numId w:val="21"/>
                    </w:numPr>
                    <w:spacing w:after="40"/>
                    <w:ind w:left="227" w:hanging="181"/>
                    <w:rPr>
                      <w:rFonts w:ascii="Times New Roman" w:eastAsia="Times New Roman" w:hAnsi="Times New Roman" w:cs="Times New Roman"/>
                      <w:sz w:val="16"/>
                      <w:szCs w:val="16"/>
                    </w:rPr>
                  </w:pPr>
                  <w:r>
                    <w:rPr>
                      <w:rFonts w:ascii="Arial" w:eastAsia="Arial" w:hAnsi="Arial" w:cs="Arial"/>
                      <w:sz w:val="18"/>
                      <w:szCs w:val="18"/>
                      <w:lang w:val="en-GB"/>
                    </w:rPr>
                    <w:t>Is able to plan and organize his/her own and team work.(K_U04)</w:t>
                  </w:r>
                </w:p>
              </w:tc>
            </w:tr>
            <w:tr w:rsidR="006F1E61" w14:paraId="62972130" w14:textId="77777777">
              <w:trPr>
                <w:cantSplit/>
              </w:trPr>
              <w:tc>
                <w:tcPr>
                  <w:tcW w:w="6125" w:type="dxa"/>
                </w:tcPr>
                <w:p w14:paraId="018B931B" w14:textId="77777777" w:rsidR="006F1E61" w:rsidRDefault="000B4BE1">
                  <w:pPr>
                    <w:keepLines/>
                    <w:numPr>
                      <w:ilvl w:val="0"/>
                      <w:numId w:val="21"/>
                    </w:numPr>
                    <w:spacing w:after="40"/>
                    <w:ind w:left="227" w:hanging="181"/>
                    <w:rPr>
                      <w:sz w:val="16"/>
                      <w:szCs w:val="16"/>
                    </w:rPr>
                  </w:pPr>
                  <w:r>
                    <w:rPr>
                      <w:rFonts w:ascii="Arial" w:eastAsia="Arial" w:hAnsi="Arial" w:cs="Arial"/>
                      <w:sz w:val="18"/>
                      <w:szCs w:val="18"/>
                      <w:lang w:val="en-GB"/>
                    </w:rPr>
                    <w:t>Has the ability to self-educate and improve acquired qualificati</w:t>
                  </w:r>
                  <w:r>
                    <w:rPr>
                      <w:rFonts w:ascii="Arial" w:eastAsia="Arial" w:hAnsi="Arial" w:cs="Arial"/>
                      <w:sz w:val="18"/>
                      <w:szCs w:val="18"/>
                      <w:lang w:val="en-GB"/>
                    </w:rPr>
                    <w:t>ons. (K_U05)</w:t>
                  </w:r>
                </w:p>
              </w:tc>
            </w:tr>
            <w:tr w:rsidR="006F1E61" w14:paraId="74A78173" w14:textId="77777777">
              <w:trPr>
                <w:cantSplit/>
              </w:trPr>
              <w:tc>
                <w:tcPr>
                  <w:tcW w:w="6125" w:type="dxa"/>
                </w:tcPr>
                <w:p w14:paraId="5AE118FC" w14:textId="77777777" w:rsidR="006F1E61" w:rsidRDefault="000B4BE1">
                  <w:pPr>
                    <w:keepNext/>
                    <w:keepLines/>
                    <w:spacing w:before="60" w:after="40"/>
                    <w:rPr>
                      <w:sz w:val="16"/>
                      <w:szCs w:val="16"/>
                    </w:rPr>
                  </w:pPr>
                  <w:r>
                    <w:rPr>
                      <w:rFonts w:ascii="Arial" w:eastAsia="Arial" w:hAnsi="Arial" w:cs="Arial"/>
                      <w:b/>
                      <w:sz w:val="18"/>
                      <w:szCs w:val="18"/>
                      <w:lang w:val="en-GB"/>
                    </w:rPr>
                    <w:t>In terms of social competences:</w:t>
                  </w:r>
                </w:p>
                <w:p w14:paraId="08886C18" w14:textId="77777777" w:rsidR="006F1E61" w:rsidRDefault="000B4BE1">
                  <w:pPr>
                    <w:keepLines/>
                    <w:numPr>
                      <w:ilvl w:val="0"/>
                      <w:numId w:val="22"/>
                    </w:numPr>
                    <w:spacing w:after="40"/>
                    <w:ind w:left="227" w:hanging="181"/>
                    <w:rPr>
                      <w:sz w:val="16"/>
                      <w:szCs w:val="16"/>
                    </w:rPr>
                  </w:pPr>
                  <w:r>
                    <w:rPr>
                      <w:rFonts w:ascii="Arial" w:eastAsia="Arial" w:hAnsi="Arial" w:cs="Arial"/>
                      <w:sz w:val="18"/>
                      <w:szCs w:val="18"/>
                      <w:lang w:val="en-GB"/>
                    </w:rPr>
                    <w:t>Is ready to evaluate and critically approach situations and phenomena related to the creation and application of digital finance law. (K_K01)</w:t>
                  </w:r>
                </w:p>
              </w:tc>
            </w:tr>
            <w:tr w:rsidR="006F1E61" w14:paraId="6F782BF8" w14:textId="77777777">
              <w:trPr>
                <w:cantSplit/>
              </w:trPr>
              <w:tc>
                <w:tcPr>
                  <w:tcW w:w="6125" w:type="dxa"/>
                </w:tcPr>
                <w:p w14:paraId="591E0379" w14:textId="77777777" w:rsidR="006F1E61" w:rsidRDefault="000B4BE1">
                  <w:pPr>
                    <w:keepLines/>
                    <w:numPr>
                      <w:ilvl w:val="0"/>
                      <w:numId w:val="23"/>
                    </w:numPr>
                    <w:spacing w:after="40"/>
                    <w:ind w:left="227" w:hanging="181"/>
                    <w:rPr>
                      <w:sz w:val="16"/>
                      <w:szCs w:val="16"/>
                    </w:rPr>
                  </w:pPr>
                  <w:r>
                    <w:rPr>
                      <w:rFonts w:ascii="Arial" w:eastAsia="Arial" w:hAnsi="Arial" w:cs="Arial"/>
                      <w:sz w:val="18"/>
                      <w:szCs w:val="18"/>
                      <w:lang w:val="en-GB"/>
                    </w:rPr>
                    <w:t>Is willing to adhere to professional ethical standards regarding the creation and application of law in the field</w:t>
                  </w:r>
                  <w:r>
                    <w:rPr>
                      <w:rFonts w:ascii="Arial" w:eastAsia="Arial" w:hAnsi="Arial" w:cs="Arial"/>
                      <w:sz w:val="18"/>
                      <w:szCs w:val="18"/>
                      <w:lang w:val="en-GB"/>
                    </w:rPr>
                    <w:t xml:space="preserve"> of digital finance.(K_K02)</w:t>
                  </w:r>
                </w:p>
              </w:tc>
            </w:tr>
          </w:tbl>
          <w:p w14:paraId="703BC253" w14:textId="77777777" w:rsidR="006F1E61" w:rsidRDefault="006F1E61">
            <w:pPr>
              <w:spacing w:line="20" w:lineRule="exact"/>
            </w:pPr>
          </w:p>
        </w:tc>
      </w:tr>
      <w:tr w:rsidR="00325422" w:rsidRPr="000C0EC7" w14:paraId="0D98D102" w14:textId="77777777" w:rsidTr="00662E4B">
        <w:trPr>
          <w:cantSplit/>
          <w:trHeight w:val="216"/>
        </w:trPr>
        <w:tc>
          <w:tcPr>
            <w:tcW w:w="3118" w:type="dxa"/>
            <w:tcBorders>
              <w:top w:val="single" w:sz="4" w:space="0" w:color="000000"/>
              <w:left w:val="single" w:sz="4" w:space="0" w:color="000000"/>
              <w:bottom w:val="single" w:sz="4" w:space="0" w:color="000000"/>
              <w:right w:val="single" w:sz="4" w:space="0" w:color="000000"/>
            </w:tcBorders>
          </w:tcPr>
          <w:p w14:paraId="3487FD88" w14:textId="77777777" w:rsidR="00325422" w:rsidRPr="004D621E" w:rsidRDefault="00B06052" w:rsidP="00883FAD">
            <w:pPr>
              <w:spacing w:line="276" w:lineRule="auto"/>
              <w:rPr>
                <w:lang w:val="en-GB"/>
              </w:rPr>
            </w:pPr>
            <w:r w:rsidRPr="004D621E">
              <w:rPr>
                <w:lang w:val="en-GB"/>
              </w:rPr>
              <w:t>Assessment methods and assessment criteria for didactic method used during the course</w:t>
            </w:r>
          </w:p>
        </w:tc>
        <w:tc>
          <w:tcPr>
            <w:tcW w:w="6346" w:type="dxa"/>
            <w:tcBorders>
              <w:top w:val="single" w:sz="4" w:space="0" w:color="000000"/>
              <w:left w:val="single" w:sz="4" w:space="0" w:color="000000"/>
              <w:bottom w:val="single" w:sz="4" w:space="0" w:color="000000"/>
              <w:right w:val="single" w:sz="4" w:space="0" w:color="000000"/>
            </w:tcBorders>
          </w:tcPr>
          <w:p w14:paraId="60161AE1" w14:textId="77777777" w:rsidR="006F1E61" w:rsidRDefault="000B4BE1">
            <w:pPr>
              <w:keepLines/>
              <w:spacing w:after="40" w:line="259" w:lineRule="auto"/>
              <w:rPr>
                <w:sz w:val="16"/>
                <w:szCs w:val="16"/>
              </w:rPr>
            </w:pPr>
            <w:r>
              <w:rPr>
                <w:rFonts w:ascii="Arial" w:eastAsia="Arial" w:hAnsi="Arial" w:cs="Arial"/>
                <w:b/>
                <w:bCs/>
                <w:sz w:val="18"/>
                <w:szCs w:val="18"/>
                <w:lang w:val="en-GB"/>
              </w:rPr>
              <w:t>Attendance</w:t>
            </w:r>
            <w:r>
              <w:rPr>
                <w:rFonts w:ascii="Arial" w:eastAsia="Arial" w:hAnsi="Arial" w:cs="Arial"/>
                <w:sz w:val="18"/>
                <w:szCs w:val="18"/>
                <w:lang w:val="en-GB"/>
              </w:rPr>
              <w:t xml:space="preserve"> - 4 points - (two absences are allowed; in case of more, credit must be obtained during office hours)</w:t>
            </w:r>
          </w:p>
          <w:p w14:paraId="4B1206B9" w14:textId="77777777" w:rsidR="006F1E61" w:rsidRDefault="000B4BE1">
            <w:pPr>
              <w:keepLines/>
              <w:spacing w:after="40" w:line="259" w:lineRule="auto"/>
              <w:rPr>
                <w:sz w:val="16"/>
                <w:szCs w:val="16"/>
              </w:rPr>
            </w:pPr>
            <w:r>
              <w:rPr>
                <w:rFonts w:ascii="Arial" w:eastAsia="Arial" w:hAnsi="Arial" w:cs="Arial"/>
                <w:b/>
                <w:bCs/>
                <w:sz w:val="18"/>
                <w:szCs w:val="18"/>
                <w:lang w:val="en-GB"/>
              </w:rPr>
              <w:t>Active participation in classes</w:t>
            </w:r>
            <w:r>
              <w:rPr>
                <w:rFonts w:ascii="Arial" w:eastAsia="Arial" w:hAnsi="Arial" w:cs="Arial"/>
                <w:sz w:val="18"/>
                <w:szCs w:val="18"/>
                <w:lang w:val="en-GB"/>
              </w:rPr>
              <w:t xml:space="preserve"> max 3 points - (there will be sessions where students will work in groups on issues in the form of case studies)</w:t>
            </w:r>
            <w:r>
              <w:rPr>
                <w:rFonts w:ascii="Arial" w:eastAsia="Arial" w:hAnsi="Arial" w:cs="Arial"/>
                <w:sz w:val="18"/>
                <w:szCs w:val="18"/>
                <w:lang w:val="en-GB"/>
              </w:rPr>
              <w:br/>
            </w:r>
            <w:r>
              <w:rPr>
                <w:rFonts w:ascii="Arial" w:eastAsia="Arial" w:hAnsi="Arial" w:cs="Arial"/>
                <w:b/>
                <w:bCs/>
                <w:sz w:val="18"/>
                <w:szCs w:val="18"/>
                <w:lang w:val="en-GB"/>
              </w:rPr>
              <w:t xml:space="preserve">Written </w:t>
            </w:r>
            <w:r>
              <w:rPr>
                <w:rFonts w:ascii="Arial" w:eastAsia="Arial" w:hAnsi="Arial" w:cs="Arial"/>
                <w:b/>
                <w:bCs/>
                <w:sz w:val="18"/>
                <w:szCs w:val="18"/>
                <w:lang w:val="en-GB"/>
              </w:rPr>
              <w:t>test</w:t>
            </w:r>
            <w:r>
              <w:rPr>
                <w:rFonts w:ascii="Arial" w:eastAsia="Arial" w:hAnsi="Arial" w:cs="Arial"/>
                <w:sz w:val="18"/>
                <w:szCs w:val="18"/>
                <w:lang w:val="en-GB"/>
              </w:rPr>
              <w:t xml:space="preserve"> max 3 points - (multiple-choice questions)</w:t>
            </w:r>
          </w:p>
        </w:tc>
      </w:tr>
      <w:tr w:rsidR="00325422" w:rsidRPr="000C0EC7" w14:paraId="51A345B8" w14:textId="77777777" w:rsidTr="00662E4B">
        <w:trPr>
          <w:cantSplit/>
          <w:trHeight w:val="218"/>
        </w:trPr>
        <w:tc>
          <w:tcPr>
            <w:tcW w:w="3118" w:type="dxa"/>
            <w:tcBorders>
              <w:top w:val="single" w:sz="4" w:space="0" w:color="000000"/>
              <w:left w:val="single" w:sz="4" w:space="0" w:color="000000"/>
              <w:bottom w:val="single" w:sz="4" w:space="0" w:color="000000"/>
              <w:right w:val="single" w:sz="4" w:space="0" w:color="000000"/>
            </w:tcBorders>
          </w:tcPr>
          <w:p w14:paraId="3A96FF7C" w14:textId="77777777" w:rsidR="00325422" w:rsidRPr="004D621E" w:rsidRDefault="004D621E" w:rsidP="00883FAD">
            <w:pPr>
              <w:spacing w:line="276" w:lineRule="auto"/>
              <w:rPr>
                <w:lang w:val="en-GB"/>
              </w:rPr>
            </w:pPr>
            <w:r w:rsidRPr="004D621E">
              <w:rPr>
                <w:lang w:val="en-GB"/>
              </w:rPr>
              <w:t>Examination for didactic method used during the course</w:t>
            </w:r>
          </w:p>
        </w:tc>
        <w:tc>
          <w:tcPr>
            <w:tcW w:w="6346" w:type="dxa"/>
            <w:tcBorders>
              <w:top w:val="single" w:sz="4" w:space="0" w:color="000000"/>
              <w:left w:val="single" w:sz="4" w:space="0" w:color="000000"/>
              <w:bottom w:val="single" w:sz="4" w:space="0" w:color="000000"/>
              <w:right w:val="single" w:sz="4" w:space="0" w:color="000000"/>
            </w:tcBorders>
          </w:tcPr>
          <w:p w14:paraId="4DD41602" w14:textId="77777777" w:rsidR="006F1E61" w:rsidRDefault="000B4BE1">
            <w:pPr>
              <w:keepLines/>
              <w:tabs>
                <w:tab w:val="left" w:pos="1020"/>
              </w:tabs>
              <w:spacing w:after="20" w:line="259" w:lineRule="auto"/>
            </w:pPr>
            <w:r>
              <w:rPr>
                <w:rFonts w:ascii="Arial" w:eastAsia="Arial" w:hAnsi="Arial" w:cs="Arial"/>
                <w:sz w:val="18"/>
                <w:szCs w:val="18"/>
                <w:lang w:val="en-GB"/>
              </w:rPr>
              <w:t>Pass with a grade.</w:t>
            </w:r>
          </w:p>
          <w:p w14:paraId="5C5D1C06" w14:textId="77777777" w:rsidR="006F1E61" w:rsidRDefault="000B4BE1">
            <w:pPr>
              <w:keepLines/>
              <w:tabs>
                <w:tab w:val="left" w:pos="1020"/>
              </w:tabs>
              <w:spacing w:after="20" w:line="259" w:lineRule="auto"/>
              <w:rPr>
                <w:sz w:val="16"/>
                <w:szCs w:val="16"/>
              </w:rPr>
            </w:pPr>
            <w:r>
              <w:rPr>
                <w:rFonts w:ascii="Arial" w:eastAsia="Arial" w:hAnsi="Arial" w:cs="Arial"/>
                <w:sz w:val="18"/>
                <w:szCs w:val="18"/>
                <w:lang w:val="en-GB"/>
              </w:rPr>
              <w:t>Class activity and test</w:t>
            </w:r>
          </w:p>
          <w:p w14:paraId="7B08EF16" w14:textId="77777777" w:rsidR="006F1E61" w:rsidRDefault="000B4BE1">
            <w:pPr>
              <w:keepNext/>
              <w:keepLines/>
              <w:tabs>
                <w:tab w:val="left" w:pos="1020"/>
              </w:tabs>
              <w:spacing w:before="60" w:after="20" w:line="259" w:lineRule="auto"/>
              <w:rPr>
                <w:sz w:val="16"/>
                <w:szCs w:val="16"/>
              </w:rPr>
            </w:pPr>
            <w:r>
              <w:rPr>
                <w:rFonts w:ascii="Arial" w:eastAsia="Arial" w:hAnsi="Arial" w:cs="Arial"/>
                <w:b/>
                <w:sz w:val="18"/>
                <w:szCs w:val="18"/>
                <w:lang w:val="en-GB"/>
              </w:rPr>
              <w:t>Grading scale</w:t>
            </w:r>
            <w:r>
              <w:rPr>
                <w:rFonts w:ascii="Arial" w:eastAsia="Arial" w:hAnsi="Arial" w:cs="Arial"/>
                <w:b/>
                <w:sz w:val="18"/>
                <w:szCs w:val="18"/>
                <w:lang w:val="en-GB"/>
              </w:rPr>
              <w:tab/>
            </w:r>
          </w:p>
          <w:p w14:paraId="20C92830" w14:textId="77777777" w:rsidR="006F1E61" w:rsidRDefault="000B4BE1">
            <w:pPr>
              <w:keepLines/>
              <w:tabs>
                <w:tab w:val="left" w:pos="1020"/>
              </w:tabs>
              <w:spacing w:after="20" w:line="259" w:lineRule="auto"/>
              <w:rPr>
                <w:sz w:val="16"/>
                <w:szCs w:val="16"/>
              </w:rPr>
            </w:pPr>
            <w:r>
              <w:rPr>
                <w:rFonts w:ascii="Arial" w:eastAsia="Arial" w:hAnsi="Arial" w:cs="Arial"/>
                <w:sz w:val="18"/>
                <w:szCs w:val="18"/>
                <w:lang w:val="en-GB"/>
              </w:rPr>
              <w:t>points</w:t>
            </w:r>
            <w:r>
              <w:rPr>
                <w:rFonts w:ascii="Arial" w:eastAsia="Arial" w:hAnsi="Arial" w:cs="Arial"/>
                <w:sz w:val="18"/>
                <w:szCs w:val="18"/>
                <w:lang w:val="en-GB"/>
              </w:rPr>
              <w:tab/>
              <w:t>rate</w:t>
            </w:r>
          </w:p>
          <w:p w14:paraId="60178364" w14:textId="77777777" w:rsidR="006F1E61" w:rsidRDefault="000B4BE1">
            <w:pPr>
              <w:keepLines/>
              <w:tabs>
                <w:tab w:val="left" w:pos="1020"/>
              </w:tabs>
              <w:spacing w:after="20" w:line="259" w:lineRule="auto"/>
              <w:rPr>
                <w:sz w:val="16"/>
                <w:szCs w:val="16"/>
              </w:rPr>
            </w:pPr>
            <w:r>
              <w:rPr>
                <w:rFonts w:ascii="Arial" w:eastAsia="Arial" w:hAnsi="Arial" w:cs="Arial"/>
                <w:sz w:val="18"/>
                <w:szCs w:val="18"/>
                <w:lang w:val="en-GB"/>
              </w:rPr>
              <w:t>5-6</w:t>
            </w:r>
            <w:r>
              <w:rPr>
                <w:rFonts w:ascii="Arial" w:eastAsia="Arial" w:hAnsi="Arial" w:cs="Arial"/>
                <w:sz w:val="18"/>
                <w:szCs w:val="18"/>
                <w:lang w:val="en-GB"/>
              </w:rPr>
              <w:tab/>
              <w:t>3</w:t>
            </w:r>
          </w:p>
          <w:p w14:paraId="011877E3" w14:textId="77777777" w:rsidR="006F1E61" w:rsidRDefault="000B4BE1">
            <w:pPr>
              <w:keepLines/>
              <w:tabs>
                <w:tab w:val="left" w:pos="1020"/>
              </w:tabs>
              <w:spacing w:after="20" w:line="259" w:lineRule="auto"/>
              <w:rPr>
                <w:sz w:val="16"/>
                <w:szCs w:val="16"/>
              </w:rPr>
            </w:pPr>
            <w:r>
              <w:rPr>
                <w:rFonts w:ascii="Arial" w:eastAsia="Arial" w:hAnsi="Arial" w:cs="Arial"/>
                <w:sz w:val="18"/>
                <w:szCs w:val="18"/>
                <w:lang w:val="en-GB"/>
              </w:rPr>
              <w:t>7</w:t>
            </w:r>
            <w:r>
              <w:rPr>
                <w:rFonts w:ascii="Arial" w:eastAsia="Arial" w:hAnsi="Arial" w:cs="Arial"/>
                <w:sz w:val="18"/>
                <w:szCs w:val="18"/>
                <w:lang w:val="en-GB"/>
              </w:rPr>
              <w:tab/>
              <w:t>3,5</w:t>
            </w:r>
          </w:p>
          <w:p w14:paraId="22BBE9CD" w14:textId="77777777" w:rsidR="006F1E61" w:rsidRDefault="000B4BE1">
            <w:pPr>
              <w:keepLines/>
              <w:tabs>
                <w:tab w:val="left" w:pos="1020"/>
              </w:tabs>
              <w:spacing w:after="20" w:line="259" w:lineRule="auto"/>
              <w:rPr>
                <w:sz w:val="16"/>
                <w:szCs w:val="16"/>
              </w:rPr>
            </w:pPr>
            <w:r>
              <w:rPr>
                <w:rFonts w:ascii="Arial" w:eastAsia="Arial" w:hAnsi="Arial" w:cs="Arial"/>
                <w:sz w:val="18"/>
                <w:szCs w:val="18"/>
                <w:lang w:val="en-GB"/>
              </w:rPr>
              <w:t>8</w:t>
            </w:r>
            <w:r>
              <w:rPr>
                <w:rFonts w:ascii="Arial" w:eastAsia="Arial" w:hAnsi="Arial" w:cs="Arial"/>
                <w:sz w:val="18"/>
                <w:szCs w:val="18"/>
                <w:lang w:val="en-GB"/>
              </w:rPr>
              <w:tab/>
              <w:t>4</w:t>
            </w:r>
          </w:p>
          <w:p w14:paraId="1E052901" w14:textId="77777777" w:rsidR="006F1E61" w:rsidRDefault="000B4BE1">
            <w:pPr>
              <w:keepLines/>
              <w:tabs>
                <w:tab w:val="left" w:pos="1020"/>
              </w:tabs>
              <w:spacing w:after="20" w:line="259" w:lineRule="auto"/>
              <w:rPr>
                <w:sz w:val="16"/>
                <w:szCs w:val="16"/>
              </w:rPr>
            </w:pPr>
            <w:r>
              <w:rPr>
                <w:rFonts w:ascii="Arial" w:eastAsia="Arial" w:hAnsi="Arial" w:cs="Arial"/>
                <w:sz w:val="18"/>
                <w:szCs w:val="18"/>
                <w:lang w:val="en-GB"/>
              </w:rPr>
              <w:t>9</w:t>
            </w:r>
            <w:r>
              <w:rPr>
                <w:rFonts w:ascii="Arial" w:eastAsia="Arial" w:hAnsi="Arial" w:cs="Arial"/>
                <w:sz w:val="18"/>
                <w:szCs w:val="18"/>
                <w:lang w:val="en-GB"/>
              </w:rPr>
              <w:tab/>
              <w:t>4,5</w:t>
            </w:r>
          </w:p>
          <w:p w14:paraId="4702CDF0" w14:textId="77777777" w:rsidR="006F1E61" w:rsidRDefault="000B4BE1">
            <w:pPr>
              <w:keepLines/>
              <w:tabs>
                <w:tab w:val="left" w:pos="1020"/>
              </w:tabs>
              <w:spacing w:after="20" w:line="259" w:lineRule="auto"/>
              <w:rPr>
                <w:sz w:val="16"/>
                <w:szCs w:val="16"/>
              </w:rPr>
            </w:pPr>
            <w:r>
              <w:rPr>
                <w:rFonts w:ascii="Arial" w:eastAsia="Arial" w:hAnsi="Arial" w:cs="Arial"/>
                <w:sz w:val="18"/>
                <w:szCs w:val="18"/>
                <w:lang w:val="en-GB"/>
              </w:rPr>
              <w:t>10</w:t>
            </w:r>
            <w:r>
              <w:rPr>
                <w:rFonts w:ascii="Arial" w:eastAsia="Arial" w:hAnsi="Arial" w:cs="Arial"/>
                <w:sz w:val="18"/>
                <w:szCs w:val="18"/>
                <w:lang w:val="en-GB"/>
              </w:rPr>
              <w:tab/>
              <w:t>5</w:t>
            </w:r>
          </w:p>
        </w:tc>
      </w:tr>
      <w:tr w:rsidR="00325422" w:rsidRPr="004D621E" w14:paraId="24F6DF51" w14:textId="77777777" w:rsidTr="00662E4B">
        <w:trPr>
          <w:cantSplit/>
          <w:trHeight w:val="216"/>
        </w:trPr>
        <w:tc>
          <w:tcPr>
            <w:tcW w:w="3118" w:type="dxa"/>
            <w:tcBorders>
              <w:top w:val="single" w:sz="4" w:space="0" w:color="000000"/>
              <w:left w:val="single" w:sz="4" w:space="0" w:color="000000"/>
              <w:bottom w:val="single" w:sz="4" w:space="0" w:color="000000"/>
              <w:right w:val="single" w:sz="4" w:space="0" w:color="000000"/>
            </w:tcBorders>
          </w:tcPr>
          <w:p w14:paraId="7FB6779C" w14:textId="77777777" w:rsidR="00325422" w:rsidRPr="004D621E" w:rsidRDefault="004D621E" w:rsidP="00883FAD">
            <w:pPr>
              <w:spacing w:line="276" w:lineRule="auto"/>
            </w:pPr>
            <w:proofErr w:type="spellStart"/>
            <w:r w:rsidRPr="004D621E">
              <w:lastRenderedPageBreak/>
              <w:t>Range</w:t>
            </w:r>
            <w:proofErr w:type="spellEnd"/>
            <w:r w:rsidRPr="004D621E">
              <w:t xml:space="preserve"> of </w:t>
            </w:r>
            <w:proofErr w:type="spellStart"/>
            <w:r w:rsidRPr="004D621E">
              <w:t>content</w:t>
            </w:r>
            <w:proofErr w:type="spellEnd"/>
          </w:p>
        </w:tc>
        <w:tc>
          <w:tcPr>
            <w:tcW w:w="6346" w:type="dxa"/>
            <w:tcBorders>
              <w:top w:val="single" w:sz="4" w:space="0" w:color="000000"/>
              <w:left w:val="single" w:sz="4" w:space="0" w:color="000000"/>
              <w:bottom w:val="single" w:sz="4" w:space="0" w:color="000000"/>
              <w:right w:val="single" w:sz="4" w:space="0" w:color="000000"/>
            </w:tcBorders>
          </w:tcPr>
          <w:tbl>
            <w:tblPr>
              <w:tblStyle w:val="TableNormal"/>
              <w:tblW w:w="6125"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4A0" w:firstRow="1" w:lastRow="0" w:firstColumn="1" w:lastColumn="0" w:noHBand="0" w:noVBand="1"/>
            </w:tblPr>
            <w:tblGrid>
              <w:gridCol w:w="6125"/>
            </w:tblGrid>
            <w:tr w:rsidR="006F1E61" w14:paraId="1BA49893" w14:textId="77777777">
              <w:trPr>
                <w:cantSplit/>
              </w:trPr>
              <w:tc>
                <w:tcPr>
                  <w:tcW w:w="6125" w:type="dxa"/>
                </w:tcPr>
                <w:p w14:paraId="16179EB9" w14:textId="77777777" w:rsidR="006F1E61" w:rsidRDefault="000B4BE1">
                  <w:pPr>
                    <w:keepNext/>
                    <w:keepLines/>
                    <w:spacing w:after="80"/>
                    <w:rPr>
                      <w:sz w:val="16"/>
                      <w:szCs w:val="16"/>
                    </w:rPr>
                  </w:pPr>
                  <w:r>
                    <w:rPr>
                      <w:rFonts w:ascii="Arial" w:eastAsia="Arial" w:hAnsi="Arial" w:cs="Arial"/>
                      <w:sz w:val="18"/>
                      <w:szCs w:val="18"/>
                      <w:lang w:val="en-GB"/>
                    </w:rPr>
                    <w:t>The seminar covers the following topics:</w:t>
                  </w:r>
                </w:p>
                <w:p w14:paraId="2330ED36" w14:textId="77777777" w:rsidR="006F1E61" w:rsidRDefault="000B4BE1">
                  <w:pPr>
                    <w:keepNext/>
                    <w:keepLines/>
                    <w:numPr>
                      <w:ilvl w:val="0"/>
                      <w:numId w:val="24"/>
                    </w:numPr>
                    <w:spacing w:before="80" w:after="40"/>
                    <w:ind w:left="238" w:hanging="238"/>
                    <w:rPr>
                      <w:sz w:val="16"/>
                      <w:szCs w:val="16"/>
                    </w:rPr>
                  </w:pPr>
                  <w:r>
                    <w:rPr>
                      <w:rFonts w:ascii="Arial" w:eastAsia="Arial" w:hAnsi="Arial" w:cs="Arial"/>
                      <w:b/>
                      <w:sz w:val="18"/>
                      <w:szCs w:val="18"/>
                      <w:lang w:val="en-GB"/>
                    </w:rPr>
                    <w:t>Basic concepts of digital finance law and an outline of legal regulations</w:t>
                  </w:r>
                </w:p>
                <w:p w14:paraId="2708E777"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placement in the legal system</w:t>
                  </w:r>
                </w:p>
              </w:tc>
            </w:tr>
            <w:tr w:rsidR="006F1E61" w14:paraId="3FBE8932" w14:textId="77777777">
              <w:trPr>
                <w:cantSplit/>
              </w:trPr>
              <w:tc>
                <w:tcPr>
                  <w:tcW w:w="6125" w:type="dxa"/>
                </w:tcPr>
                <w:p w14:paraId="147DF8CD"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cash, accounting money, electronic money, digital currencies</w:t>
                  </w:r>
                </w:p>
              </w:tc>
            </w:tr>
            <w:tr w:rsidR="006F1E61" w14:paraId="62628203" w14:textId="77777777">
              <w:trPr>
                <w:cantSplit/>
              </w:trPr>
              <w:tc>
                <w:tcPr>
                  <w:tcW w:w="6125" w:type="dxa"/>
                </w:tcPr>
                <w:p w14:paraId="0BA209E6"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payment systems</w:t>
                  </w:r>
                </w:p>
              </w:tc>
            </w:tr>
            <w:tr w:rsidR="006F1E61" w14:paraId="61CFB0EA" w14:textId="77777777">
              <w:trPr>
                <w:cantSplit/>
              </w:trPr>
              <w:tc>
                <w:tcPr>
                  <w:tcW w:w="6125" w:type="dxa"/>
                </w:tcPr>
                <w:p w14:paraId="78229589"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general outline of legal regulations - PSD3, PSR, FIDA, AMLR, IPR, MICA, DORA, ECSP, FATF</w:t>
                  </w:r>
                </w:p>
              </w:tc>
            </w:tr>
            <w:tr w:rsidR="006F1E61" w14:paraId="0991C5AA" w14:textId="77777777">
              <w:trPr>
                <w:cantSplit/>
              </w:trPr>
              <w:tc>
                <w:tcPr>
                  <w:tcW w:w="6125" w:type="dxa"/>
                </w:tcPr>
                <w:p w14:paraId="77C2DC7E"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recommendations and recommendations of supervisory authorities - EBA, KNF, GIIF</w:t>
                  </w:r>
                </w:p>
              </w:tc>
            </w:tr>
            <w:tr w:rsidR="006F1E61" w14:paraId="7DE8CAF9" w14:textId="77777777">
              <w:trPr>
                <w:cantSplit/>
              </w:trPr>
              <w:tc>
                <w:tcPr>
                  <w:tcW w:w="6125" w:type="dxa"/>
                </w:tcPr>
                <w:p w14:paraId="3858AFD9" w14:textId="77777777" w:rsidR="006F1E61" w:rsidRDefault="000B4BE1">
                  <w:pPr>
                    <w:keepNext/>
                    <w:keepLines/>
                    <w:numPr>
                      <w:ilvl w:val="0"/>
                      <w:numId w:val="24"/>
                    </w:numPr>
                    <w:spacing w:before="80" w:after="40"/>
                    <w:ind w:left="238" w:hanging="238"/>
                    <w:rPr>
                      <w:sz w:val="16"/>
                      <w:szCs w:val="16"/>
                    </w:rPr>
                  </w:pPr>
                  <w:r>
                    <w:rPr>
                      <w:rFonts w:ascii="Arial" w:eastAsia="Arial" w:hAnsi="Arial" w:cs="Arial"/>
                      <w:b/>
                      <w:sz w:val="18"/>
                      <w:szCs w:val="18"/>
                      <w:lang w:val="en-GB"/>
                    </w:rPr>
                    <w:t>Payme</w:t>
                  </w:r>
                  <w:r>
                    <w:rPr>
                      <w:rFonts w:ascii="Arial" w:eastAsia="Arial" w:hAnsi="Arial" w:cs="Arial"/>
                      <w:b/>
                      <w:sz w:val="18"/>
                      <w:szCs w:val="18"/>
                      <w:lang w:val="en-GB"/>
                    </w:rPr>
                    <w:t>nt services law - public law issues</w:t>
                  </w:r>
                </w:p>
                <w:p w14:paraId="3D5EEE4D"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types of payment service providers</w:t>
                  </w:r>
                </w:p>
              </w:tc>
            </w:tr>
            <w:tr w:rsidR="006F1E61" w14:paraId="62303AD5" w14:textId="77777777">
              <w:trPr>
                <w:cantSplit/>
              </w:trPr>
              <w:tc>
                <w:tcPr>
                  <w:tcW w:w="6125" w:type="dxa"/>
                </w:tcPr>
                <w:p w14:paraId="66BFABD7"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licensing of payment service providers</w:t>
                  </w:r>
                </w:p>
              </w:tc>
            </w:tr>
            <w:tr w:rsidR="006F1E61" w14:paraId="1CAA3E74" w14:textId="77777777">
              <w:trPr>
                <w:cantSplit/>
              </w:trPr>
              <w:tc>
                <w:tcPr>
                  <w:tcW w:w="6125" w:type="dxa"/>
                </w:tcPr>
                <w:p w14:paraId="6F4DF483"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passporting of services by payment service providers - the principle of a single license</w:t>
                  </w:r>
                </w:p>
              </w:tc>
            </w:tr>
            <w:tr w:rsidR="006F1E61" w14:paraId="5F8F8ED8" w14:textId="77777777">
              <w:trPr>
                <w:cantSplit/>
              </w:trPr>
              <w:tc>
                <w:tcPr>
                  <w:tcW w:w="6125" w:type="dxa"/>
                </w:tcPr>
                <w:p w14:paraId="4A2A9B2B"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supervision by EBA, KNF, GIIF, NBP</w:t>
                  </w:r>
                </w:p>
              </w:tc>
            </w:tr>
            <w:tr w:rsidR="006F1E61" w14:paraId="3CB4E07A" w14:textId="77777777">
              <w:trPr>
                <w:cantSplit/>
              </w:trPr>
              <w:tc>
                <w:tcPr>
                  <w:tcW w:w="6125" w:type="dxa"/>
                </w:tcPr>
                <w:p w14:paraId="2167E696" w14:textId="77777777" w:rsidR="006F1E61" w:rsidRDefault="000B4BE1">
                  <w:pPr>
                    <w:keepNext/>
                    <w:keepLines/>
                    <w:numPr>
                      <w:ilvl w:val="0"/>
                      <w:numId w:val="24"/>
                    </w:numPr>
                    <w:spacing w:before="80" w:after="40"/>
                    <w:ind w:left="238" w:hanging="238"/>
                    <w:rPr>
                      <w:sz w:val="16"/>
                      <w:szCs w:val="16"/>
                    </w:rPr>
                  </w:pPr>
                  <w:r>
                    <w:rPr>
                      <w:rFonts w:ascii="Arial" w:eastAsia="Arial" w:hAnsi="Arial" w:cs="Arial"/>
                      <w:b/>
                      <w:sz w:val="18"/>
                      <w:szCs w:val="18"/>
                      <w:lang w:val="en-GB"/>
                    </w:rPr>
                    <w:t>Payment services law - private law issues</w:t>
                  </w:r>
                </w:p>
                <w:p w14:paraId="2A05D479"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types of payment services - transfer, money order, direct debit, payment by card, issuing and acquiring, payment initiation services and access to account information</w:t>
                  </w:r>
                </w:p>
              </w:tc>
            </w:tr>
            <w:tr w:rsidR="006F1E61" w14:paraId="670619BF" w14:textId="77777777">
              <w:trPr>
                <w:cantSplit/>
              </w:trPr>
              <w:tc>
                <w:tcPr>
                  <w:tcW w:w="6125" w:type="dxa"/>
                </w:tcPr>
                <w:p w14:paraId="02147CD8"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the concep</w:t>
                  </w:r>
                  <w:r>
                    <w:rPr>
                      <w:rFonts w:ascii="Arial" w:eastAsia="Arial" w:hAnsi="Arial" w:cs="Arial"/>
                      <w:sz w:val="18"/>
                      <w:szCs w:val="18"/>
                      <w:lang w:val="en-GB"/>
                    </w:rPr>
                    <w:t>t of a payment account and its legal implications</w:t>
                  </w:r>
                </w:p>
              </w:tc>
            </w:tr>
            <w:tr w:rsidR="006F1E61" w14:paraId="2FE4A702" w14:textId="77777777">
              <w:trPr>
                <w:cantSplit/>
              </w:trPr>
              <w:tc>
                <w:tcPr>
                  <w:tcW w:w="6125" w:type="dxa"/>
                </w:tcPr>
                <w:p w14:paraId="7016A5D4"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Payment Services Agreement - Regulations and Types</w:t>
                  </w:r>
                </w:p>
              </w:tc>
            </w:tr>
            <w:tr w:rsidR="006F1E61" w14:paraId="64E0FF09" w14:textId="77777777">
              <w:trPr>
                <w:cantSplit/>
              </w:trPr>
              <w:tc>
                <w:tcPr>
                  <w:tcW w:w="6125" w:type="dxa"/>
                </w:tcPr>
                <w:p w14:paraId="71E7CE44"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Liability for executing payment transactions</w:t>
                  </w:r>
                </w:p>
              </w:tc>
            </w:tr>
            <w:tr w:rsidR="006F1E61" w14:paraId="20D89241" w14:textId="77777777">
              <w:trPr>
                <w:cantSplit/>
              </w:trPr>
              <w:tc>
                <w:tcPr>
                  <w:tcW w:w="6125" w:type="dxa"/>
                </w:tcPr>
                <w:p w14:paraId="26A4F1AF"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Liability for unauthorized transactions, ECJ case law</w:t>
                  </w:r>
                </w:p>
              </w:tc>
            </w:tr>
            <w:tr w:rsidR="006F1E61" w14:paraId="77C1F758" w14:textId="77777777">
              <w:trPr>
                <w:cantSplit/>
              </w:trPr>
              <w:tc>
                <w:tcPr>
                  <w:tcW w:w="6125" w:type="dxa"/>
                </w:tcPr>
                <w:p w14:paraId="2F6F8CA0" w14:textId="77777777" w:rsidR="006F1E61" w:rsidRDefault="000B4BE1">
                  <w:pPr>
                    <w:keepNext/>
                    <w:keepLines/>
                    <w:numPr>
                      <w:ilvl w:val="0"/>
                      <w:numId w:val="24"/>
                    </w:numPr>
                    <w:spacing w:before="80" w:after="40"/>
                    <w:ind w:left="238" w:hanging="238"/>
                    <w:rPr>
                      <w:sz w:val="16"/>
                      <w:szCs w:val="16"/>
                    </w:rPr>
                  </w:pPr>
                  <w:r>
                    <w:rPr>
                      <w:rFonts w:ascii="Arial" w:eastAsia="Arial" w:hAnsi="Arial" w:cs="Arial"/>
                      <w:b/>
                      <w:sz w:val="18"/>
                      <w:szCs w:val="18"/>
                      <w:lang w:val="en-GB"/>
                    </w:rPr>
                    <w:t>Anti-money laundering and terrorism financing law</w:t>
                  </w:r>
                </w:p>
                <w:p w14:paraId="657294C3"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Ba</w:t>
                  </w:r>
                  <w:r>
                    <w:rPr>
                      <w:rFonts w:ascii="Arial" w:eastAsia="Arial" w:hAnsi="Arial" w:cs="Arial"/>
                      <w:sz w:val="18"/>
                      <w:szCs w:val="18"/>
                      <w:lang w:val="en-GB"/>
                    </w:rPr>
                    <w:t>sic legal regulations: FATF, Wolfsberg, AMLD, AMLR, Polish Anti-Money Laundering Act</w:t>
                  </w:r>
                </w:p>
              </w:tc>
            </w:tr>
            <w:tr w:rsidR="006F1E61" w14:paraId="5A42E9F8" w14:textId="77777777">
              <w:trPr>
                <w:cantSplit/>
              </w:trPr>
              <w:tc>
                <w:tcPr>
                  <w:tcW w:w="6125" w:type="dxa"/>
                </w:tcPr>
                <w:p w14:paraId="673AEA7F"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Obligated institution - legal implications</w:t>
                  </w:r>
                </w:p>
              </w:tc>
            </w:tr>
            <w:tr w:rsidR="006F1E61" w14:paraId="0630356B" w14:textId="77777777">
              <w:trPr>
                <w:cantSplit/>
              </w:trPr>
              <w:tc>
                <w:tcPr>
                  <w:tcW w:w="6125" w:type="dxa"/>
                </w:tcPr>
                <w:p w14:paraId="5416B525"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Applying financial security measures and reporting suspicious transactions</w:t>
                  </w:r>
                </w:p>
              </w:tc>
            </w:tr>
            <w:tr w:rsidR="006F1E61" w14:paraId="392D5152" w14:textId="77777777">
              <w:trPr>
                <w:cantSplit/>
              </w:trPr>
              <w:tc>
                <w:tcPr>
                  <w:tcW w:w="6125" w:type="dxa"/>
                </w:tcPr>
                <w:p w14:paraId="027E0FB5"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Outsourcing and entrusting the implementation of financial security measures</w:t>
                  </w:r>
                </w:p>
              </w:tc>
            </w:tr>
            <w:tr w:rsidR="006F1E61" w14:paraId="74F48F04" w14:textId="77777777">
              <w:trPr>
                <w:cantSplit/>
              </w:trPr>
              <w:tc>
                <w:tcPr>
                  <w:tcW w:w="6125" w:type="dxa"/>
                </w:tcPr>
                <w:p w14:paraId="1A9583F8"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GIIF supervision and sanctions</w:t>
                  </w:r>
                </w:p>
              </w:tc>
            </w:tr>
            <w:tr w:rsidR="006F1E61" w14:paraId="129909E7" w14:textId="77777777">
              <w:trPr>
                <w:cantSplit/>
              </w:trPr>
              <w:tc>
                <w:tcPr>
                  <w:tcW w:w="6125" w:type="dxa"/>
                </w:tcPr>
                <w:p w14:paraId="651F890F" w14:textId="77777777" w:rsidR="006F1E61" w:rsidRDefault="000B4BE1">
                  <w:pPr>
                    <w:keepNext/>
                    <w:keepLines/>
                    <w:numPr>
                      <w:ilvl w:val="0"/>
                      <w:numId w:val="24"/>
                    </w:numPr>
                    <w:spacing w:before="80" w:after="40"/>
                    <w:ind w:left="238" w:hanging="238"/>
                    <w:rPr>
                      <w:sz w:val="16"/>
                      <w:szCs w:val="16"/>
                    </w:rPr>
                  </w:pPr>
                  <w:r>
                    <w:rPr>
                      <w:rFonts w:ascii="Arial" w:eastAsia="Arial" w:hAnsi="Arial" w:cs="Arial"/>
                      <w:b/>
                      <w:sz w:val="18"/>
                      <w:szCs w:val="18"/>
                      <w:lang w:val="en-GB"/>
                    </w:rPr>
                    <w:t>DORA and financial services outsourcing</w:t>
                  </w:r>
                </w:p>
                <w:p w14:paraId="05D9E0FD"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Principles of applying outsour</w:t>
                  </w:r>
                  <w:r>
                    <w:rPr>
                      <w:rFonts w:ascii="Arial" w:eastAsia="Arial" w:hAnsi="Arial" w:cs="Arial"/>
                      <w:sz w:val="18"/>
                      <w:szCs w:val="18"/>
                      <w:lang w:val="en-GB"/>
                    </w:rPr>
                    <w:t>cing of financial services</w:t>
                  </w:r>
                </w:p>
              </w:tc>
            </w:tr>
            <w:tr w:rsidR="006F1E61" w14:paraId="4ED1AA58" w14:textId="77777777">
              <w:trPr>
                <w:cantSplit/>
              </w:trPr>
              <w:tc>
                <w:tcPr>
                  <w:tcW w:w="6125" w:type="dxa"/>
                </w:tcPr>
                <w:p w14:paraId="141D9B0B"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Obligations of the outsourcer and insourcer</w:t>
                  </w:r>
                </w:p>
              </w:tc>
            </w:tr>
            <w:tr w:rsidR="006F1E61" w14:paraId="55FA8025" w14:textId="77777777">
              <w:trPr>
                <w:cantSplit/>
              </w:trPr>
              <w:tc>
                <w:tcPr>
                  <w:tcW w:w="6125" w:type="dxa"/>
                </w:tcPr>
                <w:p w14:paraId="5C80D865"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Outsourcing Agreement Requirements</w:t>
                  </w:r>
                </w:p>
              </w:tc>
            </w:tr>
            <w:tr w:rsidR="006F1E61" w14:paraId="1A6851B0" w14:textId="77777777">
              <w:trPr>
                <w:cantSplit/>
              </w:trPr>
              <w:tc>
                <w:tcPr>
                  <w:tcW w:w="6125" w:type="dxa"/>
                </w:tcPr>
                <w:p w14:paraId="0612E309" w14:textId="77777777" w:rsidR="006F1E61" w:rsidRDefault="000B4BE1">
                  <w:pPr>
                    <w:keepNext/>
                    <w:keepLines/>
                    <w:numPr>
                      <w:ilvl w:val="0"/>
                      <w:numId w:val="24"/>
                    </w:numPr>
                    <w:spacing w:before="80" w:after="40"/>
                    <w:ind w:left="238" w:hanging="238"/>
                    <w:rPr>
                      <w:sz w:val="16"/>
                      <w:szCs w:val="16"/>
                    </w:rPr>
                  </w:pPr>
                  <w:r>
                    <w:rPr>
                      <w:rFonts w:ascii="Arial" w:eastAsia="Arial" w:hAnsi="Arial" w:cs="Arial"/>
                      <w:b/>
                      <w:sz w:val="18"/>
                      <w:szCs w:val="18"/>
                      <w:lang w:val="en-GB"/>
                    </w:rPr>
                    <w:t>Regulation of Cryptoassets (MICA) and Crowdfunding - ECSP</w:t>
                  </w:r>
                </w:p>
                <w:p w14:paraId="1D9C90B6"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Types of cryptoassets</w:t>
                  </w:r>
                </w:p>
              </w:tc>
            </w:tr>
            <w:tr w:rsidR="006F1E61" w14:paraId="76283968" w14:textId="77777777">
              <w:trPr>
                <w:cantSplit/>
              </w:trPr>
              <w:tc>
                <w:tcPr>
                  <w:tcW w:w="6125" w:type="dxa"/>
                </w:tcPr>
                <w:p w14:paraId="2F128FED"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Supervision of entities operating in the field of cryptoassets</w:t>
                  </w:r>
                </w:p>
              </w:tc>
            </w:tr>
            <w:tr w:rsidR="006F1E61" w14:paraId="2FEF67A5" w14:textId="77777777">
              <w:trPr>
                <w:cantSplit/>
              </w:trPr>
              <w:tc>
                <w:tcPr>
                  <w:tcW w:w="6125" w:type="dxa"/>
                </w:tcPr>
                <w:p w14:paraId="002F4179"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crowdfunding rules</w:t>
                  </w:r>
                </w:p>
              </w:tc>
            </w:tr>
            <w:tr w:rsidR="006F1E61" w14:paraId="03F8F9BE" w14:textId="77777777">
              <w:trPr>
                <w:cantSplit/>
              </w:trPr>
              <w:tc>
                <w:tcPr>
                  <w:tcW w:w="6125" w:type="dxa"/>
                </w:tcPr>
                <w:p w14:paraId="0E67F0A0" w14:textId="77777777" w:rsidR="006F1E61" w:rsidRDefault="000B4BE1">
                  <w:pPr>
                    <w:keepNext/>
                    <w:keepLines/>
                    <w:numPr>
                      <w:ilvl w:val="0"/>
                      <w:numId w:val="24"/>
                    </w:numPr>
                    <w:spacing w:before="80" w:after="40"/>
                    <w:ind w:left="238" w:hanging="238"/>
                    <w:rPr>
                      <w:sz w:val="16"/>
                      <w:szCs w:val="16"/>
                    </w:rPr>
                  </w:pPr>
                  <w:r>
                    <w:rPr>
                      <w:rFonts w:ascii="Arial" w:eastAsia="Arial" w:hAnsi="Arial" w:cs="Arial"/>
                      <w:b/>
                      <w:sz w:val="18"/>
                      <w:szCs w:val="18"/>
                      <w:lang w:val="en-GB"/>
                    </w:rPr>
                    <w:t>Banking as a Service (BaaS)</w:t>
                  </w:r>
                </w:p>
                <w:p w14:paraId="4486D728"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The concept of BaaS, embedded finance, basic legal regulations</w:t>
                  </w:r>
                </w:p>
              </w:tc>
            </w:tr>
            <w:tr w:rsidR="006F1E61" w14:paraId="4C3AEE2B" w14:textId="77777777">
              <w:trPr>
                <w:cantSplit/>
              </w:trPr>
              <w:tc>
                <w:tcPr>
                  <w:tcW w:w="6125" w:type="dxa"/>
                </w:tcPr>
                <w:p w14:paraId="0191AA32"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requirements for entities providing BaaS services</w:t>
                  </w:r>
                </w:p>
              </w:tc>
            </w:tr>
            <w:tr w:rsidR="006F1E61" w14:paraId="3F45C616" w14:textId="77777777">
              <w:trPr>
                <w:cantSplit/>
              </w:trPr>
              <w:tc>
                <w:tcPr>
                  <w:tcW w:w="6125" w:type="dxa"/>
                </w:tcPr>
                <w:p w14:paraId="0BCFD5B2"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 xml:space="preserve">BaaS types: Model 1: payment </w:t>
                  </w:r>
                  <w:r>
                    <w:rPr>
                      <w:rFonts w:ascii="Arial" w:eastAsia="Arial" w:hAnsi="Arial" w:cs="Arial"/>
                      <w:sz w:val="18"/>
                      <w:szCs w:val="18"/>
                      <w:lang w:val="en-GB"/>
                    </w:rPr>
                    <w:t>services, savings accounts, investment services; Model 2: access to payment systems, "safeguarded" accounts, virtual IBAN; Model 3: credit services - "fronting"; Model 4: receivables financing</w:t>
                  </w:r>
                </w:p>
              </w:tc>
            </w:tr>
            <w:tr w:rsidR="006F1E61" w14:paraId="3F3412EC" w14:textId="77777777">
              <w:trPr>
                <w:cantSplit/>
              </w:trPr>
              <w:tc>
                <w:tcPr>
                  <w:tcW w:w="6125" w:type="dxa"/>
                </w:tcPr>
                <w:p w14:paraId="72CD0B36" w14:textId="77777777" w:rsidR="006F1E61" w:rsidRDefault="000B4BE1">
                  <w:pPr>
                    <w:keepLines/>
                    <w:numPr>
                      <w:ilvl w:val="1"/>
                      <w:numId w:val="24"/>
                    </w:numPr>
                    <w:spacing w:after="40"/>
                    <w:ind w:left="454" w:hanging="181"/>
                    <w:rPr>
                      <w:sz w:val="16"/>
                      <w:szCs w:val="16"/>
                    </w:rPr>
                  </w:pPr>
                  <w:r>
                    <w:rPr>
                      <w:rFonts w:ascii="Arial" w:eastAsia="Arial" w:hAnsi="Arial" w:cs="Arial"/>
                      <w:sz w:val="18"/>
                      <w:szCs w:val="18"/>
                      <w:lang w:val="en-GB"/>
                    </w:rPr>
                    <w:t>opportunities and risks associated with BaaS</w:t>
                  </w:r>
                </w:p>
              </w:tc>
            </w:tr>
          </w:tbl>
          <w:p w14:paraId="4BC6CEC3" w14:textId="77777777" w:rsidR="006F1E61" w:rsidRDefault="006F1E61">
            <w:pPr>
              <w:spacing w:line="20" w:lineRule="exact"/>
            </w:pPr>
          </w:p>
        </w:tc>
      </w:tr>
      <w:tr w:rsidR="00325422" w:rsidRPr="004D621E" w14:paraId="47EE8DA7" w14:textId="77777777" w:rsidTr="00662E4B">
        <w:trPr>
          <w:cantSplit/>
          <w:trHeight w:val="216"/>
        </w:trPr>
        <w:tc>
          <w:tcPr>
            <w:tcW w:w="3118" w:type="dxa"/>
            <w:tcBorders>
              <w:top w:val="single" w:sz="4" w:space="0" w:color="000000"/>
              <w:left w:val="single" w:sz="4" w:space="0" w:color="000000"/>
              <w:bottom w:val="single" w:sz="4" w:space="0" w:color="000000"/>
              <w:right w:val="single" w:sz="4" w:space="0" w:color="000000"/>
            </w:tcBorders>
          </w:tcPr>
          <w:p w14:paraId="2DE1DD0D" w14:textId="77777777" w:rsidR="00325422" w:rsidRPr="004D621E" w:rsidRDefault="004D621E" w:rsidP="00883FAD">
            <w:pPr>
              <w:spacing w:line="276" w:lineRule="auto"/>
            </w:pPr>
            <w:proofErr w:type="spellStart"/>
            <w:r w:rsidRPr="004D621E">
              <w:t>Didactic</w:t>
            </w:r>
            <w:proofErr w:type="spellEnd"/>
            <w:r w:rsidRPr="004D621E">
              <w:t xml:space="preserve"> </w:t>
            </w:r>
            <w:proofErr w:type="spellStart"/>
            <w:r w:rsidRPr="004D621E">
              <w:t>methods</w:t>
            </w:r>
            <w:proofErr w:type="spellEnd"/>
          </w:p>
        </w:tc>
        <w:tc>
          <w:tcPr>
            <w:tcW w:w="6346" w:type="dxa"/>
            <w:tcBorders>
              <w:top w:val="single" w:sz="4" w:space="0" w:color="000000"/>
              <w:left w:val="single" w:sz="4" w:space="0" w:color="000000"/>
              <w:bottom w:val="single" w:sz="4" w:space="0" w:color="000000"/>
              <w:right w:val="single" w:sz="4" w:space="0" w:color="000000"/>
            </w:tcBorders>
          </w:tcPr>
          <w:p w14:paraId="4CE9FF28" w14:textId="77777777" w:rsidR="006F1E61" w:rsidRDefault="000B4BE1">
            <w:pPr>
              <w:keepLines/>
              <w:spacing w:after="40" w:line="259" w:lineRule="auto"/>
              <w:rPr>
                <w:sz w:val="16"/>
                <w:szCs w:val="16"/>
              </w:rPr>
            </w:pPr>
            <w:r>
              <w:rPr>
                <w:rFonts w:ascii="Arial" w:eastAsia="Arial" w:hAnsi="Arial" w:cs="Arial"/>
                <w:sz w:val="18"/>
                <w:szCs w:val="18"/>
                <w:lang w:val="en-GB"/>
              </w:rPr>
              <w:t>Interactive lecture supported by multimedia materials, discussion, explanation of key concepts, current use cases from the market</w:t>
            </w:r>
          </w:p>
        </w:tc>
      </w:tr>
      <w:tr w:rsidR="00325422" w:rsidRPr="004D621E" w14:paraId="156B7FAC" w14:textId="77777777" w:rsidTr="00662E4B">
        <w:trPr>
          <w:trHeight w:val="218"/>
        </w:trPr>
        <w:tc>
          <w:tcPr>
            <w:tcW w:w="3118" w:type="dxa"/>
            <w:tcBorders>
              <w:top w:val="single" w:sz="4" w:space="0" w:color="000000"/>
              <w:left w:val="single" w:sz="4" w:space="0" w:color="000000"/>
              <w:bottom w:val="single" w:sz="4" w:space="0" w:color="000000"/>
              <w:right w:val="single" w:sz="4" w:space="0" w:color="000000"/>
            </w:tcBorders>
          </w:tcPr>
          <w:p w14:paraId="25BD1DA1" w14:textId="77777777" w:rsidR="00325422" w:rsidRPr="004D621E" w:rsidRDefault="004D621E" w:rsidP="00883FAD">
            <w:pPr>
              <w:spacing w:line="276" w:lineRule="auto"/>
            </w:pPr>
            <w:proofErr w:type="spellStart"/>
            <w:r w:rsidRPr="004D621E">
              <w:lastRenderedPageBreak/>
              <w:t>Bibliography</w:t>
            </w:r>
            <w:proofErr w:type="spellEnd"/>
          </w:p>
        </w:tc>
        <w:tc>
          <w:tcPr>
            <w:tcW w:w="6346" w:type="dxa"/>
            <w:tcBorders>
              <w:top w:val="single" w:sz="4" w:space="0" w:color="000000"/>
              <w:left w:val="single" w:sz="4" w:space="0" w:color="000000"/>
              <w:bottom w:val="single" w:sz="4" w:space="0" w:color="000000"/>
              <w:right w:val="single" w:sz="4" w:space="0" w:color="000000"/>
            </w:tcBorders>
          </w:tcPr>
          <w:tbl>
            <w:tblPr>
              <w:tblStyle w:val="TableNormal"/>
              <w:tblW w:w="6125"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4A0" w:firstRow="1" w:lastRow="0" w:firstColumn="1" w:lastColumn="0" w:noHBand="0" w:noVBand="1"/>
            </w:tblPr>
            <w:tblGrid>
              <w:gridCol w:w="6125"/>
            </w:tblGrid>
            <w:tr w:rsidR="006F1E61" w14:paraId="2257864B" w14:textId="77777777">
              <w:trPr>
                <w:cantSplit/>
              </w:trPr>
              <w:tc>
                <w:tcPr>
                  <w:tcW w:w="6125" w:type="dxa"/>
                </w:tcPr>
                <w:p w14:paraId="63267AC9" w14:textId="77777777" w:rsidR="006F1E61" w:rsidRDefault="000B4BE1">
                  <w:pPr>
                    <w:pStyle w:val="Nagwek3"/>
                    <w:spacing w:before="0" w:after="40"/>
                    <w:rPr>
                      <w:color w:val="222222"/>
                      <w:sz w:val="16"/>
                      <w:szCs w:val="16"/>
                      <w:highlight w:val="white"/>
                    </w:rPr>
                  </w:pPr>
                  <w:r>
                    <w:rPr>
                      <w:rFonts w:ascii="Arial" w:eastAsia="Arial" w:hAnsi="Arial" w:cs="Arial"/>
                      <w:color w:val="222222"/>
                      <w:sz w:val="18"/>
                      <w:szCs w:val="18"/>
                      <w:lang w:val="en-GB"/>
                    </w:rPr>
                    <w:t>Required:</w:t>
                  </w:r>
                </w:p>
                <w:p w14:paraId="56414DEE" w14:textId="77777777" w:rsidR="006F1E61" w:rsidRDefault="000B4BE1">
                  <w:pPr>
                    <w:keepLines/>
                    <w:numPr>
                      <w:ilvl w:val="0"/>
                      <w:numId w:val="25"/>
                    </w:numPr>
                    <w:spacing w:after="100"/>
                    <w:ind w:left="227" w:hanging="181"/>
                    <w:rPr>
                      <w:color w:val="222222"/>
                      <w:sz w:val="16"/>
                      <w:szCs w:val="16"/>
                      <w:highlight w:val="white"/>
                    </w:rPr>
                  </w:pPr>
                  <w:r>
                    <w:rPr>
                      <w:rFonts w:ascii="Arial" w:eastAsia="Arial" w:hAnsi="Arial" w:cs="Arial"/>
                      <w:color w:val="222222"/>
                      <w:sz w:val="18"/>
                      <w:szCs w:val="18"/>
                      <w:lang w:val="en-GB"/>
                    </w:rPr>
                    <w:t xml:space="preserve">Hallak, I. (2024). </w:t>
                  </w:r>
                  <w:r>
                    <w:rPr>
                      <w:rFonts w:ascii="Arial" w:eastAsia="Arial" w:hAnsi="Arial" w:cs="Arial"/>
                      <w:i/>
                      <w:iCs/>
                      <w:color w:val="222222"/>
                      <w:sz w:val="18"/>
                      <w:szCs w:val="18"/>
                      <w:lang w:val="en-GB"/>
                    </w:rPr>
                    <w:t>Digital finance legislation: Overview and state of play</w:t>
                  </w:r>
                  <w:r>
                    <w:rPr>
                      <w:rFonts w:ascii="Arial" w:eastAsia="Arial" w:hAnsi="Arial" w:cs="Arial"/>
                      <w:color w:val="222222"/>
                      <w:sz w:val="18"/>
                      <w:szCs w:val="18"/>
                      <w:lang w:val="en-GB"/>
                    </w:rPr>
                    <w:t>. European Parliamentary Research Service (EPRS), Briefing.</w:t>
                  </w:r>
                  <w:hyperlink r:id="rId17">
                    <w:r>
                      <w:rPr>
                        <w:rFonts w:ascii="Arial" w:eastAsia="Arial" w:hAnsi="Arial" w:cs="Arial"/>
                        <w:color w:val="222222"/>
                        <w:sz w:val="18"/>
                        <w:szCs w:val="18"/>
                        <w:lang w:val="en-GB"/>
                      </w:rPr>
                      <w:t xml:space="preserve"> </w:t>
                    </w:r>
                  </w:hyperlink>
                  <w:hyperlink r:id="rId18">
                    <w:r>
                      <w:rPr>
                        <w:rFonts w:ascii="Arial" w:eastAsia="Arial" w:hAnsi="Arial" w:cs="Arial"/>
                        <w:color w:val="1155CC"/>
                        <w:sz w:val="18"/>
                        <w:szCs w:val="18"/>
                        <w:u w:val="single"/>
                        <w:lang w:val="en-GB"/>
                      </w:rPr>
                      <w:t>https://www.europarl.europa.eu/RegData/etudes/BRIE/2024/762308/EPRS_BRI(2024)762308_EN.pdf</w:t>
                    </w:r>
                    <w:r>
                      <w:rPr>
                        <w:rFonts w:ascii="Arial" w:eastAsia="Arial" w:hAnsi="Arial" w:cs="Arial"/>
                        <w:color w:val="1155CC"/>
                        <w:sz w:val="18"/>
                        <w:szCs w:val="18"/>
                        <w:u w:val="single"/>
                        <w:lang w:val="en-GB"/>
                      </w:rPr>
                      <w:br/>
                    </w:r>
                  </w:hyperlink>
                </w:p>
              </w:tc>
            </w:tr>
            <w:tr w:rsidR="006F1E61" w14:paraId="127C6A37" w14:textId="77777777">
              <w:trPr>
                <w:cantSplit/>
              </w:trPr>
              <w:tc>
                <w:tcPr>
                  <w:tcW w:w="6125" w:type="dxa"/>
                </w:tcPr>
                <w:p w14:paraId="12C7B521" w14:textId="77777777" w:rsidR="006F1E61" w:rsidRDefault="000B4BE1">
                  <w:pPr>
                    <w:keepLines/>
                    <w:numPr>
                      <w:ilvl w:val="0"/>
                      <w:numId w:val="25"/>
                    </w:numPr>
                    <w:spacing w:after="100"/>
                    <w:ind w:left="227" w:hanging="181"/>
                    <w:rPr>
                      <w:color w:val="222222"/>
                      <w:sz w:val="16"/>
                      <w:szCs w:val="16"/>
                      <w:highlight w:val="white"/>
                    </w:rPr>
                  </w:pPr>
                  <w:r>
                    <w:rPr>
                      <w:rFonts w:ascii="Arial" w:eastAsia="Arial" w:hAnsi="Arial" w:cs="Arial"/>
                      <w:color w:val="222222"/>
                      <w:sz w:val="18"/>
                      <w:szCs w:val="18"/>
                      <w:lang w:val="en-GB"/>
                    </w:rPr>
                    <w:t xml:space="preserve">Górka, J. (2025). The rise of instant payments: A cross-country comparison. </w:t>
                  </w:r>
                  <w:r>
                    <w:rPr>
                      <w:rFonts w:ascii="Arial" w:eastAsia="Arial" w:hAnsi="Arial" w:cs="Arial"/>
                      <w:i/>
                      <w:iCs/>
                      <w:color w:val="222222"/>
                      <w:sz w:val="18"/>
                      <w:szCs w:val="18"/>
                      <w:lang w:val="en-GB"/>
                    </w:rPr>
                    <w:t>Central European Management Journal</w:t>
                  </w:r>
                  <w:r>
                    <w:rPr>
                      <w:rFonts w:ascii="Arial" w:eastAsia="Arial" w:hAnsi="Arial" w:cs="Arial"/>
                      <w:color w:val="222222"/>
                      <w:sz w:val="18"/>
                      <w:szCs w:val="18"/>
                      <w:lang w:val="en-GB"/>
                    </w:rPr>
                    <w:t>.</w:t>
                  </w:r>
                  <w:hyperlink r:id="rId19">
                    <w:r>
                      <w:rPr>
                        <w:rFonts w:ascii="Arial" w:eastAsia="Arial" w:hAnsi="Arial" w:cs="Arial"/>
                        <w:color w:val="222222"/>
                        <w:sz w:val="18"/>
                        <w:szCs w:val="18"/>
                        <w:lang w:val="en-GB"/>
                      </w:rPr>
                      <w:t xml:space="preserve"> </w:t>
                    </w:r>
                  </w:hyperlink>
                  <w:hyperlink r:id="rId20">
                    <w:r>
                      <w:rPr>
                        <w:rFonts w:ascii="Arial" w:eastAsia="Arial" w:hAnsi="Arial" w:cs="Arial"/>
                        <w:color w:val="1155CC"/>
                        <w:sz w:val="18"/>
                        <w:szCs w:val="18"/>
                        <w:u w:val="single"/>
                        <w:lang w:val="en-GB"/>
                      </w:rPr>
                      <w:t>https://doi.org/10.11</w:t>
                    </w:r>
                    <w:r>
                      <w:rPr>
                        <w:rFonts w:ascii="Arial" w:eastAsia="Arial" w:hAnsi="Arial" w:cs="Arial"/>
                        <w:color w:val="1155CC"/>
                        <w:sz w:val="18"/>
                        <w:szCs w:val="18"/>
                        <w:u w:val="single"/>
                        <w:lang w:val="en-GB"/>
                      </w:rPr>
                      <w:t>08/CEMJ-10-2024-0297</w:t>
                    </w:r>
                    <w:r>
                      <w:rPr>
                        <w:rFonts w:ascii="Arial" w:eastAsia="Arial" w:hAnsi="Arial" w:cs="Arial"/>
                        <w:color w:val="1155CC"/>
                        <w:sz w:val="18"/>
                        <w:szCs w:val="18"/>
                        <w:u w:val="single"/>
                        <w:lang w:val="en-GB"/>
                      </w:rPr>
                      <w:br/>
                    </w:r>
                  </w:hyperlink>
                </w:p>
              </w:tc>
            </w:tr>
            <w:tr w:rsidR="006F1E61" w14:paraId="00B089D8" w14:textId="77777777">
              <w:trPr>
                <w:cantSplit/>
              </w:trPr>
              <w:tc>
                <w:tcPr>
                  <w:tcW w:w="6125" w:type="dxa"/>
                </w:tcPr>
                <w:p w14:paraId="4A036E70" w14:textId="77777777" w:rsidR="006F1E61" w:rsidRDefault="000B4BE1">
                  <w:pPr>
                    <w:keepLines/>
                    <w:numPr>
                      <w:ilvl w:val="0"/>
                      <w:numId w:val="25"/>
                    </w:numPr>
                    <w:spacing w:after="100"/>
                    <w:ind w:left="227" w:hanging="181"/>
                    <w:rPr>
                      <w:color w:val="222222"/>
                      <w:sz w:val="16"/>
                      <w:szCs w:val="16"/>
                      <w:highlight w:val="white"/>
                    </w:rPr>
                  </w:pPr>
                  <w:r>
                    <w:rPr>
                      <w:rFonts w:ascii="Arial" w:eastAsia="Arial" w:hAnsi="Arial" w:cs="Arial"/>
                      <w:color w:val="222222"/>
                      <w:sz w:val="18"/>
                      <w:szCs w:val="18"/>
                      <w:lang w:val="en-GB"/>
                    </w:rPr>
                    <w:t xml:space="preserve">Grabowski, M. (2021). Legal aspects of “white-label” banking in the European, Polish and German law. </w:t>
                  </w:r>
                  <w:r>
                    <w:rPr>
                      <w:rFonts w:ascii="Arial" w:eastAsia="Arial" w:hAnsi="Arial" w:cs="Arial"/>
                      <w:i/>
                      <w:iCs/>
                      <w:color w:val="222222"/>
                      <w:sz w:val="18"/>
                      <w:szCs w:val="18"/>
                      <w:lang w:val="en-GB"/>
                    </w:rPr>
                    <w:t>Journal of Risk and Financial Management, 14</w:t>
                  </w:r>
                  <w:r>
                    <w:rPr>
                      <w:rFonts w:ascii="Arial" w:eastAsia="Arial" w:hAnsi="Arial" w:cs="Arial"/>
                      <w:color w:val="222222"/>
                      <w:sz w:val="18"/>
                      <w:szCs w:val="18"/>
                      <w:lang w:val="en-GB"/>
                    </w:rPr>
                    <w:t>(6), 280.</w:t>
                  </w:r>
                  <w:hyperlink r:id="rId21">
                    <w:r>
                      <w:rPr>
                        <w:rFonts w:ascii="Arial" w:eastAsia="Arial" w:hAnsi="Arial" w:cs="Arial"/>
                        <w:color w:val="222222"/>
                        <w:sz w:val="18"/>
                        <w:szCs w:val="18"/>
                        <w:lang w:val="en-GB"/>
                      </w:rPr>
                      <w:t xml:space="preserve"> </w:t>
                    </w:r>
                  </w:hyperlink>
                  <w:hyperlink r:id="rId22">
                    <w:r>
                      <w:rPr>
                        <w:rFonts w:ascii="Arial" w:eastAsia="Arial" w:hAnsi="Arial" w:cs="Arial"/>
                        <w:color w:val="1155CC"/>
                        <w:sz w:val="18"/>
                        <w:szCs w:val="18"/>
                        <w:u w:val="single"/>
                        <w:lang w:val="en-GB"/>
                      </w:rPr>
                      <w:t>https://doi.org/10.3390/jrfm14060280</w:t>
                    </w:r>
                  </w:hyperlink>
                </w:p>
              </w:tc>
            </w:tr>
            <w:tr w:rsidR="006F1E61" w14:paraId="55A151FF" w14:textId="77777777">
              <w:trPr>
                <w:cantSplit/>
              </w:trPr>
              <w:tc>
                <w:tcPr>
                  <w:tcW w:w="6125" w:type="dxa"/>
                </w:tcPr>
                <w:p w14:paraId="0FA4DE11" w14:textId="77777777" w:rsidR="006F1E61" w:rsidRDefault="000B4BE1">
                  <w:pPr>
                    <w:pStyle w:val="Nagwek3"/>
                    <w:spacing w:before="60" w:after="40"/>
                    <w:rPr>
                      <w:sz w:val="16"/>
                      <w:szCs w:val="16"/>
                    </w:rPr>
                  </w:pPr>
                  <w:r>
                    <w:rPr>
                      <w:rFonts w:ascii="Arial" w:eastAsia="Arial" w:hAnsi="Arial" w:cs="Arial"/>
                      <w:sz w:val="18"/>
                      <w:szCs w:val="18"/>
                      <w:lang w:val="en-GB"/>
                    </w:rPr>
                    <w:t>Optional:</w:t>
                  </w:r>
                </w:p>
                <w:p w14:paraId="42E7E74D" w14:textId="77777777" w:rsidR="006F1E61" w:rsidRDefault="000B4BE1">
                  <w:pPr>
                    <w:keepLines/>
                    <w:numPr>
                      <w:ilvl w:val="0"/>
                      <w:numId w:val="26"/>
                    </w:numPr>
                    <w:spacing w:after="100"/>
                    <w:ind w:left="227" w:hanging="181"/>
                    <w:rPr>
                      <w:sz w:val="16"/>
                      <w:szCs w:val="16"/>
                    </w:rPr>
                  </w:pPr>
                  <w:r>
                    <w:rPr>
                      <w:rFonts w:ascii="Arial" w:eastAsia="Arial" w:hAnsi="Arial" w:cs="Arial"/>
                      <w:sz w:val="18"/>
                      <w:szCs w:val="18"/>
                      <w:lang w:val="en-GB"/>
                    </w:rPr>
                    <w:t xml:space="preserve">Grabowski, M. (2022). Virtual IBAN as a service in the law of the European Union and Poland. </w:t>
                  </w:r>
                  <w:r>
                    <w:rPr>
                      <w:rFonts w:ascii="Arial" w:eastAsia="Arial" w:hAnsi="Arial" w:cs="Arial"/>
                      <w:i/>
                      <w:iCs/>
                      <w:sz w:val="18"/>
                      <w:szCs w:val="18"/>
                      <w:lang w:val="en-GB"/>
                    </w:rPr>
                    <w:t>Journal of Risk and Financial Management, 15</w:t>
                  </w:r>
                  <w:r>
                    <w:rPr>
                      <w:rFonts w:ascii="Arial" w:eastAsia="Arial" w:hAnsi="Arial" w:cs="Arial"/>
                      <w:sz w:val="18"/>
                      <w:szCs w:val="18"/>
                      <w:lang w:val="en-GB"/>
                    </w:rPr>
                    <w:t>(12), 566.</w:t>
                  </w:r>
                  <w:hyperlink r:id="rId23">
                    <w:r>
                      <w:rPr>
                        <w:rFonts w:ascii="Arial" w:eastAsia="Arial" w:hAnsi="Arial" w:cs="Arial"/>
                        <w:sz w:val="18"/>
                        <w:szCs w:val="18"/>
                        <w:lang w:val="en-GB"/>
                      </w:rPr>
                      <w:t xml:space="preserve"> </w:t>
                    </w:r>
                  </w:hyperlink>
                  <w:hyperlink r:id="rId24">
                    <w:r>
                      <w:rPr>
                        <w:rFonts w:ascii="Arial" w:eastAsia="Arial" w:hAnsi="Arial" w:cs="Arial"/>
                        <w:color w:val="1155CC"/>
                        <w:sz w:val="18"/>
                        <w:szCs w:val="18"/>
                        <w:u w:val="single"/>
                        <w:lang w:val="en-GB"/>
                      </w:rPr>
                      <w:t>https://doi.org/10.3390/jrfm15120566</w:t>
                    </w:r>
                    <w:r>
                      <w:rPr>
                        <w:rFonts w:ascii="Arial" w:eastAsia="Arial" w:hAnsi="Arial" w:cs="Arial"/>
                        <w:color w:val="1155CC"/>
                        <w:sz w:val="18"/>
                        <w:szCs w:val="18"/>
                        <w:u w:val="single"/>
                        <w:lang w:val="en-GB"/>
                      </w:rPr>
                      <w:br/>
                    </w:r>
                  </w:hyperlink>
                </w:p>
              </w:tc>
            </w:tr>
            <w:tr w:rsidR="006F1E61" w14:paraId="548A229A" w14:textId="77777777">
              <w:trPr>
                <w:cantSplit/>
              </w:trPr>
              <w:tc>
                <w:tcPr>
                  <w:tcW w:w="6125" w:type="dxa"/>
                </w:tcPr>
                <w:p w14:paraId="28D37DB4" w14:textId="77777777" w:rsidR="006F1E61" w:rsidRDefault="000B4BE1">
                  <w:pPr>
                    <w:keepLines/>
                    <w:numPr>
                      <w:ilvl w:val="0"/>
                      <w:numId w:val="26"/>
                    </w:numPr>
                    <w:spacing w:after="100"/>
                    <w:ind w:left="227" w:hanging="181"/>
                    <w:rPr>
                      <w:sz w:val="16"/>
                      <w:szCs w:val="16"/>
                    </w:rPr>
                  </w:pPr>
                  <w:r>
                    <w:rPr>
                      <w:rFonts w:ascii="Arial" w:eastAsia="Arial" w:hAnsi="Arial" w:cs="Arial"/>
                      <w:sz w:val="18"/>
                      <w:szCs w:val="18"/>
                      <w:lang w:val="en-GB"/>
                    </w:rPr>
                    <w:t xml:space="preserve">Grabowski, M. (2024). Account information and payment initiation services and the related AML obligations </w:t>
                  </w:r>
                  <w:r>
                    <w:rPr>
                      <w:rFonts w:ascii="Arial" w:eastAsia="Arial" w:hAnsi="Arial" w:cs="Arial"/>
                      <w:sz w:val="18"/>
                      <w:szCs w:val="18"/>
                      <w:lang w:val="en-GB"/>
                    </w:rPr>
                    <w:t xml:space="preserve">in the law of the European Union. </w:t>
                  </w:r>
                  <w:r>
                    <w:rPr>
                      <w:rFonts w:ascii="Arial" w:eastAsia="Arial" w:hAnsi="Arial" w:cs="Arial"/>
                      <w:i/>
                      <w:iCs/>
                      <w:sz w:val="18"/>
                      <w:szCs w:val="18"/>
                      <w:lang w:val="en-GB"/>
                    </w:rPr>
                    <w:t>FinTech, 3</w:t>
                  </w:r>
                  <w:r>
                    <w:rPr>
                      <w:rFonts w:ascii="Arial" w:eastAsia="Arial" w:hAnsi="Arial" w:cs="Arial"/>
                      <w:sz w:val="18"/>
                      <w:szCs w:val="18"/>
                      <w:lang w:val="en-GB"/>
                    </w:rPr>
                    <w:t>(1), 173–183.</w:t>
                  </w:r>
                  <w:hyperlink r:id="rId25">
                    <w:r>
                      <w:rPr>
                        <w:rFonts w:ascii="Arial" w:eastAsia="Arial" w:hAnsi="Arial" w:cs="Arial"/>
                        <w:sz w:val="18"/>
                        <w:szCs w:val="18"/>
                        <w:lang w:val="en-GB"/>
                      </w:rPr>
                      <w:t xml:space="preserve"> </w:t>
                    </w:r>
                  </w:hyperlink>
                  <w:hyperlink r:id="rId26">
                    <w:r>
                      <w:rPr>
                        <w:rFonts w:ascii="Arial" w:eastAsia="Arial" w:hAnsi="Arial" w:cs="Arial"/>
                        <w:color w:val="1155CC"/>
                        <w:sz w:val="18"/>
                        <w:szCs w:val="18"/>
                        <w:u w:val="single"/>
                        <w:lang w:val="en-GB"/>
                      </w:rPr>
                      <w:t>https://doi.org/10.3390/fintech3010011</w:t>
                    </w:r>
                    <w:r>
                      <w:rPr>
                        <w:rFonts w:ascii="Arial" w:eastAsia="Arial" w:hAnsi="Arial" w:cs="Arial"/>
                        <w:color w:val="1155CC"/>
                        <w:sz w:val="18"/>
                        <w:szCs w:val="18"/>
                        <w:u w:val="single"/>
                        <w:lang w:val="en-GB"/>
                      </w:rPr>
                      <w:br/>
                    </w:r>
                  </w:hyperlink>
                </w:p>
              </w:tc>
            </w:tr>
            <w:tr w:rsidR="006F1E61" w14:paraId="09C8EF98" w14:textId="77777777">
              <w:trPr>
                <w:cantSplit/>
              </w:trPr>
              <w:tc>
                <w:tcPr>
                  <w:tcW w:w="6125" w:type="dxa"/>
                </w:tcPr>
                <w:p w14:paraId="525E6156" w14:textId="77777777" w:rsidR="006F1E61" w:rsidRDefault="000B4BE1">
                  <w:pPr>
                    <w:keepLines/>
                    <w:numPr>
                      <w:ilvl w:val="0"/>
                      <w:numId w:val="26"/>
                    </w:numPr>
                    <w:spacing w:after="100"/>
                    <w:ind w:left="227" w:hanging="181"/>
                    <w:rPr>
                      <w:sz w:val="16"/>
                      <w:szCs w:val="16"/>
                    </w:rPr>
                  </w:pPr>
                  <w:r>
                    <w:rPr>
                      <w:rFonts w:ascii="Arial" w:eastAsia="Arial" w:hAnsi="Arial" w:cs="Arial"/>
                      <w:sz w:val="18"/>
                      <w:szCs w:val="18"/>
                      <w:lang w:val="en-GB"/>
                    </w:rPr>
                    <w:t xml:space="preserve">Górka, J. (Ed.). (2016). </w:t>
                  </w:r>
                  <w:r>
                    <w:rPr>
                      <w:rFonts w:ascii="Arial" w:eastAsia="Arial" w:hAnsi="Arial" w:cs="Arial"/>
                      <w:i/>
                      <w:iCs/>
                      <w:sz w:val="18"/>
                      <w:szCs w:val="18"/>
                      <w:lang w:val="en-GB"/>
                    </w:rPr>
                    <w:t>Transforming pay</w:t>
                  </w:r>
                  <w:r>
                    <w:rPr>
                      <w:rFonts w:ascii="Arial" w:eastAsia="Arial" w:hAnsi="Arial" w:cs="Arial"/>
                      <w:i/>
                      <w:iCs/>
                      <w:sz w:val="18"/>
                      <w:szCs w:val="18"/>
                      <w:lang w:val="en-GB"/>
                    </w:rPr>
                    <w:t>ment systems in Europe</w:t>
                  </w:r>
                  <w:r>
                    <w:rPr>
                      <w:rFonts w:ascii="Arial" w:eastAsia="Arial" w:hAnsi="Arial" w:cs="Arial"/>
                      <w:sz w:val="18"/>
                      <w:szCs w:val="18"/>
                      <w:lang w:val="en-GB"/>
                    </w:rPr>
                    <w:t>. Palgrave Macmillan.</w:t>
                  </w:r>
                </w:p>
              </w:tc>
            </w:tr>
          </w:tbl>
          <w:p w14:paraId="7C9C5B67" w14:textId="77777777" w:rsidR="006F1E61" w:rsidRDefault="006F1E61">
            <w:pPr>
              <w:spacing w:line="20" w:lineRule="exact"/>
            </w:pPr>
          </w:p>
        </w:tc>
      </w:tr>
      <w:tr w:rsidR="00325422" w:rsidRPr="004D621E" w14:paraId="29B2B970" w14:textId="77777777" w:rsidTr="00662E4B">
        <w:trPr>
          <w:cantSplit/>
          <w:trHeight w:val="216"/>
        </w:trPr>
        <w:tc>
          <w:tcPr>
            <w:tcW w:w="3118" w:type="dxa"/>
            <w:tcBorders>
              <w:top w:val="single" w:sz="4" w:space="0" w:color="000000"/>
              <w:left w:val="single" w:sz="4" w:space="0" w:color="000000"/>
              <w:bottom w:val="single" w:sz="4" w:space="0" w:color="000000"/>
              <w:right w:val="single" w:sz="4" w:space="0" w:color="000000"/>
            </w:tcBorders>
            <w:shd w:val="clear" w:color="auto" w:fill="E6E6E6"/>
          </w:tcPr>
          <w:p w14:paraId="580DA9B2" w14:textId="77777777" w:rsidR="00325422" w:rsidRPr="004D621E" w:rsidRDefault="004D621E" w:rsidP="00883FAD">
            <w:pPr>
              <w:spacing w:line="276" w:lineRule="auto"/>
            </w:pPr>
            <w:r w:rsidRPr="004D621E">
              <w:t>Group limit</w:t>
            </w:r>
            <w:r w:rsidR="00325422" w:rsidRPr="004D621E">
              <w:t xml:space="preserve"> </w:t>
            </w:r>
          </w:p>
        </w:tc>
        <w:tc>
          <w:tcPr>
            <w:tcW w:w="6346" w:type="dxa"/>
            <w:tcBorders>
              <w:top w:val="single" w:sz="4" w:space="0" w:color="000000"/>
              <w:left w:val="single" w:sz="4" w:space="0" w:color="000000"/>
              <w:bottom w:val="single" w:sz="4" w:space="0" w:color="000000"/>
              <w:right w:val="single" w:sz="4" w:space="0" w:color="000000"/>
            </w:tcBorders>
            <w:shd w:val="clear" w:color="auto" w:fill="E6E6E6"/>
          </w:tcPr>
          <w:p w14:paraId="1F34050E" w14:textId="77777777" w:rsidR="006F1E61" w:rsidRDefault="000B4BE1">
            <w:pPr>
              <w:keepLines/>
              <w:spacing w:after="40" w:line="259" w:lineRule="auto"/>
              <w:rPr>
                <w:sz w:val="16"/>
                <w:szCs w:val="16"/>
              </w:rPr>
            </w:pPr>
            <w:r>
              <w:rPr>
                <w:rFonts w:ascii="Arial" w:eastAsia="Arial" w:hAnsi="Arial" w:cs="Arial"/>
                <w:sz w:val="18"/>
                <w:szCs w:val="18"/>
                <w:lang w:val="en-GB"/>
              </w:rPr>
              <w:t xml:space="preserve"> 40</w:t>
            </w:r>
          </w:p>
        </w:tc>
      </w:tr>
      <w:tr w:rsidR="00325422" w:rsidRPr="004D621E" w14:paraId="1A575AD8" w14:textId="77777777" w:rsidTr="00662E4B">
        <w:trPr>
          <w:cantSplit/>
          <w:trHeight w:val="216"/>
        </w:trPr>
        <w:tc>
          <w:tcPr>
            <w:tcW w:w="3118" w:type="dxa"/>
            <w:tcBorders>
              <w:top w:val="single" w:sz="4" w:space="0" w:color="000000"/>
              <w:left w:val="single" w:sz="4" w:space="0" w:color="000000"/>
              <w:bottom w:val="single" w:sz="4" w:space="0" w:color="000000"/>
              <w:right w:val="single" w:sz="4" w:space="0" w:color="000000"/>
            </w:tcBorders>
            <w:shd w:val="clear" w:color="auto" w:fill="E6E6E6"/>
          </w:tcPr>
          <w:p w14:paraId="4880BEE0" w14:textId="77777777" w:rsidR="00325422" w:rsidRPr="004D621E" w:rsidRDefault="004D621E" w:rsidP="00883FAD">
            <w:pPr>
              <w:spacing w:line="276" w:lineRule="auto"/>
            </w:pPr>
            <w:r w:rsidRPr="004D621E">
              <w:t xml:space="preserve">Time </w:t>
            </w:r>
            <w:proofErr w:type="spellStart"/>
            <w:r w:rsidRPr="004D621E">
              <w:t>span</w:t>
            </w:r>
            <w:proofErr w:type="spellEnd"/>
          </w:p>
        </w:tc>
        <w:tc>
          <w:tcPr>
            <w:tcW w:w="6346" w:type="dxa"/>
            <w:tcBorders>
              <w:top w:val="single" w:sz="4" w:space="0" w:color="000000"/>
              <w:left w:val="single" w:sz="4" w:space="0" w:color="000000"/>
              <w:bottom w:val="single" w:sz="4" w:space="0" w:color="000000"/>
              <w:right w:val="single" w:sz="4" w:space="0" w:color="000000"/>
            </w:tcBorders>
            <w:shd w:val="clear" w:color="auto" w:fill="E6E6E6"/>
          </w:tcPr>
          <w:p w14:paraId="0E277244" w14:textId="77777777" w:rsidR="006F1E61" w:rsidRDefault="000B4BE1">
            <w:pPr>
              <w:keepLines/>
              <w:spacing w:after="40" w:line="259" w:lineRule="auto"/>
            </w:pPr>
            <w:r>
              <w:rPr>
                <w:rFonts w:ascii="Arial" w:eastAsia="Arial" w:hAnsi="Arial" w:cs="Arial"/>
                <w:sz w:val="18"/>
                <w:szCs w:val="18"/>
                <w:lang w:val="en-GB"/>
              </w:rPr>
              <w:t>13 October 2026 (09:00–11:15)</w:t>
            </w:r>
            <w:r>
              <w:rPr>
                <w:rFonts w:ascii="Arial" w:eastAsia="Arial" w:hAnsi="Arial" w:cs="Arial"/>
                <w:sz w:val="18"/>
                <w:szCs w:val="18"/>
                <w:lang w:val="en-GB"/>
              </w:rPr>
              <w:br/>
              <w:t>20 October 2026 (09:00–11:15)</w:t>
            </w:r>
            <w:r>
              <w:rPr>
                <w:rFonts w:ascii="Arial" w:eastAsia="Arial" w:hAnsi="Arial" w:cs="Arial"/>
                <w:sz w:val="18"/>
                <w:szCs w:val="18"/>
                <w:lang w:val="en-GB"/>
              </w:rPr>
              <w:br/>
              <w:t>27 October 2026 (09:00–11:15)</w:t>
            </w:r>
            <w:r>
              <w:rPr>
                <w:rFonts w:ascii="Arial" w:eastAsia="Arial" w:hAnsi="Arial" w:cs="Arial"/>
                <w:sz w:val="18"/>
                <w:szCs w:val="18"/>
                <w:lang w:val="en-GB"/>
              </w:rPr>
              <w:br/>
              <w:t>3 November 2026 (09:00–11:15)</w:t>
            </w:r>
            <w:r>
              <w:rPr>
                <w:rFonts w:ascii="Arial" w:eastAsia="Arial" w:hAnsi="Arial" w:cs="Arial"/>
                <w:sz w:val="18"/>
                <w:szCs w:val="18"/>
                <w:lang w:val="en-GB"/>
              </w:rPr>
              <w:br/>
              <w:t>10 November 2026 (09:00–11:15)</w:t>
            </w:r>
            <w:r>
              <w:rPr>
                <w:rFonts w:ascii="Arial" w:eastAsia="Arial" w:hAnsi="Arial" w:cs="Arial"/>
                <w:sz w:val="18"/>
                <w:szCs w:val="18"/>
                <w:lang w:val="en-GB"/>
              </w:rPr>
              <w:br/>
              <w:t xml:space="preserve">17 November 2026 </w:t>
            </w:r>
            <w:r>
              <w:rPr>
                <w:rFonts w:ascii="Arial" w:eastAsia="Arial" w:hAnsi="Arial" w:cs="Arial"/>
                <w:sz w:val="18"/>
                <w:szCs w:val="18"/>
                <w:lang w:val="en-GB"/>
              </w:rPr>
              <w:t>(09:00–11:15)</w:t>
            </w:r>
            <w:r>
              <w:rPr>
                <w:rFonts w:ascii="Arial" w:eastAsia="Arial" w:hAnsi="Arial" w:cs="Arial"/>
                <w:sz w:val="18"/>
                <w:szCs w:val="18"/>
                <w:lang w:val="en-GB"/>
              </w:rPr>
              <w:br/>
              <w:t>24 November 2026 (09:00–11:15)</w:t>
            </w:r>
            <w:r>
              <w:rPr>
                <w:rFonts w:ascii="Arial" w:eastAsia="Arial" w:hAnsi="Arial" w:cs="Arial"/>
                <w:sz w:val="18"/>
                <w:szCs w:val="18"/>
                <w:lang w:val="en-GB"/>
              </w:rPr>
              <w:br/>
              <w:t>2 December 2026 (09:00–11:15)</w:t>
            </w:r>
            <w:r>
              <w:rPr>
                <w:rFonts w:ascii="Arial" w:eastAsia="Arial" w:hAnsi="Arial" w:cs="Arial"/>
                <w:sz w:val="18"/>
                <w:szCs w:val="18"/>
                <w:lang w:val="en-GB"/>
              </w:rPr>
              <w:br/>
              <w:t>8 December 2026 (09:00–11:15)</w:t>
            </w:r>
            <w:r>
              <w:rPr>
                <w:rFonts w:ascii="Arial" w:eastAsia="Arial" w:hAnsi="Arial" w:cs="Arial"/>
                <w:sz w:val="18"/>
                <w:szCs w:val="18"/>
                <w:lang w:val="en-GB"/>
              </w:rPr>
              <w:br/>
              <w:t>15 December 2026 (09:00–11:15)</w:t>
            </w:r>
          </w:p>
        </w:tc>
      </w:tr>
      <w:tr w:rsidR="00325422" w:rsidRPr="004D621E" w14:paraId="5440A4C4" w14:textId="77777777" w:rsidTr="00662E4B">
        <w:trPr>
          <w:cantSplit/>
          <w:trHeight w:val="215"/>
        </w:trPr>
        <w:tc>
          <w:tcPr>
            <w:tcW w:w="3118" w:type="dxa"/>
            <w:tcBorders>
              <w:top w:val="single" w:sz="4" w:space="0" w:color="000000"/>
              <w:left w:val="single" w:sz="4" w:space="0" w:color="000000"/>
              <w:bottom w:val="single" w:sz="4" w:space="0" w:color="000000"/>
              <w:right w:val="single" w:sz="4" w:space="0" w:color="000000"/>
            </w:tcBorders>
            <w:shd w:val="clear" w:color="auto" w:fill="E6E6E6"/>
          </w:tcPr>
          <w:p w14:paraId="2444D687" w14:textId="77777777" w:rsidR="00325422" w:rsidRPr="004D621E" w:rsidRDefault="004D621E" w:rsidP="00883FAD">
            <w:pPr>
              <w:spacing w:line="276" w:lineRule="auto"/>
            </w:pPr>
            <w:proofErr w:type="spellStart"/>
            <w:r w:rsidRPr="004D621E">
              <w:t>Location</w:t>
            </w:r>
            <w:proofErr w:type="spellEnd"/>
          </w:p>
        </w:tc>
        <w:tc>
          <w:tcPr>
            <w:tcW w:w="6346" w:type="dxa"/>
            <w:tcBorders>
              <w:top w:val="single" w:sz="4" w:space="0" w:color="000000"/>
              <w:left w:val="single" w:sz="4" w:space="0" w:color="000000"/>
              <w:bottom w:val="single" w:sz="4" w:space="0" w:color="000000"/>
              <w:right w:val="single" w:sz="4" w:space="0" w:color="000000"/>
            </w:tcBorders>
            <w:shd w:val="clear" w:color="auto" w:fill="E6E6E6"/>
          </w:tcPr>
          <w:p w14:paraId="7FE6CC82" w14:textId="77777777" w:rsidR="006F1E61" w:rsidRDefault="000B4BE1">
            <w:pPr>
              <w:keepLines/>
              <w:spacing w:after="40" w:line="259" w:lineRule="auto"/>
            </w:pPr>
            <w:r>
              <w:rPr>
                <w:rFonts w:ascii="Arial" w:eastAsia="Arial" w:hAnsi="Arial" w:cs="Arial"/>
                <w:sz w:val="18"/>
                <w:szCs w:val="18"/>
                <w:lang w:val="en-GB"/>
              </w:rPr>
              <w:t>Room A207, Faculty of Management, University of Warsaw</w:t>
            </w:r>
          </w:p>
        </w:tc>
      </w:tr>
    </w:tbl>
    <w:p w14:paraId="4EFDD1B0" w14:textId="77777777" w:rsidR="00325422" w:rsidRPr="004D621E" w:rsidRDefault="00325422"/>
    <w:sectPr w:rsidR="00325422" w:rsidRPr="004D62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B7A6F" w14:textId="77777777" w:rsidR="008B02E1" w:rsidRDefault="008B02E1" w:rsidP="006F4F7C">
      <w:pPr>
        <w:spacing w:after="0" w:line="240" w:lineRule="auto"/>
      </w:pPr>
      <w:r>
        <w:separator/>
      </w:r>
    </w:p>
  </w:endnote>
  <w:endnote w:type="continuationSeparator" w:id="0">
    <w:p w14:paraId="0081F0B2" w14:textId="77777777" w:rsidR="008B02E1" w:rsidRDefault="008B02E1" w:rsidP="006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Georgia">
    <w:panose1 w:val="02040502050405020303"/>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228A6" w14:textId="77777777" w:rsidR="008B02E1" w:rsidRDefault="008B02E1" w:rsidP="006F4F7C">
      <w:pPr>
        <w:spacing w:after="0" w:line="240" w:lineRule="auto"/>
      </w:pPr>
      <w:r>
        <w:separator/>
      </w:r>
    </w:p>
  </w:footnote>
  <w:footnote w:type="continuationSeparator" w:id="0">
    <w:p w14:paraId="79DF4175" w14:textId="77777777" w:rsidR="008B02E1" w:rsidRDefault="008B02E1" w:rsidP="006F4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5FEF"/>
    <w:multiLevelType w:val="multilevel"/>
    <w:tmpl w:val="23E8DC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266369"/>
    <w:multiLevelType w:val="multilevel"/>
    <w:tmpl w:val="F1DE89D8"/>
    <w:lvl w:ilvl="0">
      <w:start w:val="1"/>
      <w:numFmt w:val="bullet"/>
      <w:lvlText w:val="●"/>
      <w:lvlJc w:val="left"/>
      <w:pPr>
        <w:ind w:left="721" w:hanging="360"/>
      </w:pPr>
      <w:rPr>
        <w:u w:val="none"/>
      </w:rPr>
    </w:lvl>
    <w:lvl w:ilvl="1">
      <w:start w:val="1"/>
      <w:numFmt w:val="bullet"/>
      <w:lvlText w:val="o"/>
      <w:lvlJc w:val="left"/>
      <w:pPr>
        <w:ind w:left="1441" w:hanging="360"/>
      </w:pPr>
      <w:rPr>
        <w:u w:val="none"/>
      </w:rPr>
    </w:lvl>
    <w:lvl w:ilvl="2">
      <w:start w:val="1"/>
      <w:numFmt w:val="bullet"/>
      <w:lvlText w:val="▪"/>
      <w:lvlJc w:val="left"/>
      <w:pPr>
        <w:ind w:left="2161" w:hanging="360"/>
      </w:pPr>
      <w:rPr>
        <w:u w:val="none"/>
      </w:rPr>
    </w:lvl>
    <w:lvl w:ilvl="3">
      <w:start w:val="1"/>
      <w:numFmt w:val="bullet"/>
      <w:lvlText w:val="●"/>
      <w:lvlJc w:val="left"/>
      <w:pPr>
        <w:ind w:left="2881" w:hanging="360"/>
      </w:pPr>
      <w:rPr>
        <w:u w:val="none"/>
      </w:rPr>
    </w:lvl>
    <w:lvl w:ilvl="4">
      <w:start w:val="1"/>
      <w:numFmt w:val="bullet"/>
      <w:lvlText w:val="o"/>
      <w:lvlJc w:val="left"/>
      <w:pPr>
        <w:ind w:left="3601" w:hanging="360"/>
      </w:pPr>
      <w:rPr>
        <w:u w:val="none"/>
      </w:rPr>
    </w:lvl>
    <w:lvl w:ilvl="5">
      <w:start w:val="1"/>
      <w:numFmt w:val="bullet"/>
      <w:lvlText w:val="▪"/>
      <w:lvlJc w:val="left"/>
      <w:pPr>
        <w:ind w:left="4321" w:hanging="360"/>
      </w:pPr>
      <w:rPr>
        <w:u w:val="none"/>
      </w:rPr>
    </w:lvl>
    <w:lvl w:ilvl="6">
      <w:start w:val="1"/>
      <w:numFmt w:val="bullet"/>
      <w:lvlText w:val="●"/>
      <w:lvlJc w:val="left"/>
      <w:pPr>
        <w:ind w:left="5041" w:hanging="360"/>
      </w:pPr>
      <w:rPr>
        <w:u w:val="none"/>
      </w:rPr>
    </w:lvl>
    <w:lvl w:ilvl="7">
      <w:start w:val="1"/>
      <w:numFmt w:val="bullet"/>
      <w:lvlText w:val="o"/>
      <w:lvlJc w:val="left"/>
      <w:pPr>
        <w:ind w:left="5761" w:hanging="360"/>
      </w:pPr>
      <w:rPr>
        <w:u w:val="none"/>
      </w:rPr>
    </w:lvl>
    <w:lvl w:ilvl="8">
      <w:start w:val="1"/>
      <w:numFmt w:val="bullet"/>
      <w:lvlText w:val="▪"/>
      <w:lvlJc w:val="left"/>
      <w:pPr>
        <w:ind w:left="6481" w:hanging="360"/>
      </w:pPr>
      <w:rPr>
        <w:u w:val="none"/>
      </w:rPr>
    </w:lvl>
  </w:abstractNum>
  <w:abstractNum w:abstractNumId="2" w15:restartNumberingAfterBreak="0">
    <w:nsid w:val="0E5E5645"/>
    <w:multiLevelType w:val="multilevel"/>
    <w:tmpl w:val="BB0E85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2F50A4"/>
    <w:multiLevelType w:val="multilevel"/>
    <w:tmpl w:val="D33E9A32"/>
    <w:lvl w:ilvl="0">
      <w:start w:val="1"/>
      <w:numFmt w:val="decimal"/>
      <w:lvlText w:val="%1."/>
      <w:lvlJc w:val="left"/>
      <w:pPr>
        <w:ind w:left="360" w:hanging="360"/>
      </w:pPr>
      <w:rPr>
        <w:u w:val="none"/>
      </w:rPr>
    </w:lvl>
    <w:lvl w:ilvl="1">
      <w:start w:val="1"/>
      <w:numFmt w:val="bullet"/>
      <w:lvlText w:val="−"/>
      <w:lvlJc w:val="left"/>
      <w:pPr>
        <w:ind w:left="720" w:hanging="360"/>
      </w:pPr>
      <w:rPr>
        <w:u w:val="none"/>
      </w:rPr>
    </w:lvl>
    <w:lvl w:ilvl="2">
      <w:start w:val="1"/>
      <w:numFmt w:val="bullet"/>
      <w:lvlText w:val="▪"/>
      <w:lvlJc w:val="left"/>
      <w:pPr>
        <w:ind w:left="1080" w:hanging="360"/>
      </w:pPr>
      <w:rPr>
        <w:u w:val="none"/>
      </w:rPr>
    </w:lvl>
    <w:lvl w:ilvl="3">
      <w:start w:val="1"/>
      <w:numFmt w:val="bullet"/>
      <w:lvlText w:val="●"/>
      <w:lvlJc w:val="left"/>
      <w:pPr>
        <w:ind w:left="1440" w:hanging="360"/>
      </w:pPr>
      <w:rPr>
        <w:u w:val="none"/>
      </w:rPr>
    </w:lvl>
    <w:lvl w:ilvl="4">
      <w:start w:val="1"/>
      <w:numFmt w:val="bullet"/>
      <w:lvlText w:val="♦"/>
      <w:lvlJc w:val="left"/>
      <w:pPr>
        <w:ind w:left="1800" w:hanging="360"/>
      </w:pPr>
      <w:rPr>
        <w:u w:val="none"/>
      </w:rPr>
    </w:lvl>
    <w:lvl w:ilvl="5">
      <w:start w:val="1"/>
      <w:numFmt w:val="bullet"/>
      <w:lvlText w:val="⮚"/>
      <w:lvlJc w:val="left"/>
      <w:pPr>
        <w:ind w:left="2160" w:hanging="360"/>
      </w:pPr>
      <w:rPr>
        <w:u w:val="none"/>
      </w:rPr>
    </w:lvl>
    <w:lvl w:ilvl="6">
      <w:start w:val="1"/>
      <w:numFmt w:val="bullet"/>
      <w:lvlText w:val="▪"/>
      <w:lvlJc w:val="left"/>
      <w:pPr>
        <w:ind w:left="2520" w:hanging="360"/>
      </w:pPr>
      <w:rPr>
        <w:u w:val="none"/>
      </w:rPr>
    </w:lvl>
    <w:lvl w:ilvl="7">
      <w:start w:val="1"/>
      <w:numFmt w:val="bullet"/>
      <w:lvlText w:val="●"/>
      <w:lvlJc w:val="left"/>
      <w:pPr>
        <w:ind w:left="2880" w:hanging="360"/>
      </w:pPr>
      <w:rPr>
        <w:u w:val="none"/>
      </w:rPr>
    </w:lvl>
    <w:lvl w:ilvl="8">
      <w:start w:val="1"/>
      <w:numFmt w:val="bullet"/>
      <w:lvlText w:val="♦"/>
      <w:lvlJc w:val="left"/>
      <w:pPr>
        <w:ind w:left="3240" w:hanging="360"/>
      </w:pPr>
      <w:rPr>
        <w:u w:val="none"/>
      </w:rPr>
    </w:lvl>
  </w:abstractNum>
  <w:abstractNum w:abstractNumId="4" w15:restartNumberingAfterBreak="0">
    <w:nsid w:val="14216357"/>
    <w:multiLevelType w:val="multilevel"/>
    <w:tmpl w:val="ACE424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42602C"/>
    <w:multiLevelType w:val="multilevel"/>
    <w:tmpl w:val="998ABEA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8049C2"/>
    <w:multiLevelType w:val="multilevel"/>
    <w:tmpl w:val="A91AB450"/>
    <w:lvl w:ilvl="0">
      <w:start w:val="1"/>
      <w:numFmt w:val="decimal"/>
      <w:lvlText w:val="%1."/>
      <w:lvlJc w:val="left"/>
      <w:pPr>
        <w:ind w:left="360" w:hanging="360"/>
      </w:pPr>
      <w:rPr>
        <w:u w:val="none"/>
      </w:rPr>
    </w:lvl>
    <w:lvl w:ilvl="1">
      <w:start w:val="1"/>
      <w:numFmt w:val="bullet"/>
      <w:lvlText w:val="−"/>
      <w:lvlJc w:val="left"/>
      <w:pPr>
        <w:ind w:left="720" w:hanging="360"/>
      </w:pPr>
      <w:rPr>
        <w:u w:val="none"/>
      </w:rPr>
    </w:lvl>
    <w:lvl w:ilvl="2">
      <w:start w:val="1"/>
      <w:numFmt w:val="bullet"/>
      <w:lvlText w:val="▪"/>
      <w:lvlJc w:val="left"/>
      <w:pPr>
        <w:ind w:left="1080" w:hanging="360"/>
      </w:pPr>
      <w:rPr>
        <w:u w:val="none"/>
      </w:rPr>
    </w:lvl>
    <w:lvl w:ilvl="3">
      <w:start w:val="1"/>
      <w:numFmt w:val="bullet"/>
      <w:lvlText w:val="●"/>
      <w:lvlJc w:val="left"/>
      <w:pPr>
        <w:ind w:left="1440" w:hanging="360"/>
      </w:pPr>
      <w:rPr>
        <w:u w:val="none"/>
      </w:rPr>
    </w:lvl>
    <w:lvl w:ilvl="4">
      <w:start w:val="1"/>
      <w:numFmt w:val="bullet"/>
      <w:lvlText w:val="♦"/>
      <w:lvlJc w:val="left"/>
      <w:pPr>
        <w:ind w:left="1800" w:hanging="360"/>
      </w:pPr>
      <w:rPr>
        <w:u w:val="none"/>
      </w:rPr>
    </w:lvl>
    <w:lvl w:ilvl="5">
      <w:start w:val="1"/>
      <w:numFmt w:val="bullet"/>
      <w:lvlText w:val="⮚"/>
      <w:lvlJc w:val="left"/>
      <w:pPr>
        <w:ind w:left="2160" w:hanging="360"/>
      </w:pPr>
      <w:rPr>
        <w:u w:val="none"/>
      </w:rPr>
    </w:lvl>
    <w:lvl w:ilvl="6">
      <w:start w:val="1"/>
      <w:numFmt w:val="bullet"/>
      <w:lvlText w:val="▪"/>
      <w:lvlJc w:val="left"/>
      <w:pPr>
        <w:ind w:left="2520" w:hanging="360"/>
      </w:pPr>
      <w:rPr>
        <w:u w:val="none"/>
      </w:rPr>
    </w:lvl>
    <w:lvl w:ilvl="7">
      <w:start w:val="1"/>
      <w:numFmt w:val="bullet"/>
      <w:lvlText w:val="●"/>
      <w:lvlJc w:val="left"/>
      <w:pPr>
        <w:ind w:left="2880" w:hanging="360"/>
      </w:pPr>
      <w:rPr>
        <w:u w:val="none"/>
      </w:rPr>
    </w:lvl>
    <w:lvl w:ilvl="8">
      <w:start w:val="1"/>
      <w:numFmt w:val="bullet"/>
      <w:lvlText w:val="♦"/>
      <w:lvlJc w:val="left"/>
      <w:pPr>
        <w:ind w:left="3240" w:hanging="360"/>
      </w:pPr>
      <w:rPr>
        <w:u w:val="none"/>
      </w:rPr>
    </w:lvl>
  </w:abstractNum>
  <w:abstractNum w:abstractNumId="7" w15:restartNumberingAfterBreak="0">
    <w:nsid w:val="551550B4"/>
    <w:multiLevelType w:val="multilevel"/>
    <w:tmpl w:val="C0ECAA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EF0C15"/>
    <w:multiLevelType w:val="multilevel"/>
    <w:tmpl w:val="7BF0243A"/>
    <w:lvl w:ilvl="0">
      <w:start w:val="1"/>
      <w:numFmt w:val="bullet"/>
      <w:lvlText w:val="●"/>
      <w:lvlJc w:val="left"/>
      <w:pPr>
        <w:ind w:left="721" w:hanging="360"/>
      </w:pPr>
      <w:rPr>
        <w:u w:val="none"/>
      </w:rPr>
    </w:lvl>
    <w:lvl w:ilvl="1">
      <w:start w:val="1"/>
      <w:numFmt w:val="bullet"/>
      <w:lvlText w:val="o"/>
      <w:lvlJc w:val="left"/>
      <w:pPr>
        <w:ind w:left="1441" w:hanging="360"/>
      </w:pPr>
      <w:rPr>
        <w:u w:val="none"/>
      </w:rPr>
    </w:lvl>
    <w:lvl w:ilvl="2">
      <w:start w:val="1"/>
      <w:numFmt w:val="bullet"/>
      <w:lvlText w:val="▪"/>
      <w:lvlJc w:val="left"/>
      <w:pPr>
        <w:ind w:left="2161" w:hanging="360"/>
      </w:pPr>
      <w:rPr>
        <w:u w:val="none"/>
      </w:rPr>
    </w:lvl>
    <w:lvl w:ilvl="3">
      <w:start w:val="1"/>
      <w:numFmt w:val="bullet"/>
      <w:lvlText w:val="●"/>
      <w:lvlJc w:val="left"/>
      <w:pPr>
        <w:ind w:left="2881" w:hanging="360"/>
      </w:pPr>
      <w:rPr>
        <w:u w:val="none"/>
      </w:rPr>
    </w:lvl>
    <w:lvl w:ilvl="4">
      <w:start w:val="1"/>
      <w:numFmt w:val="bullet"/>
      <w:lvlText w:val="o"/>
      <w:lvlJc w:val="left"/>
      <w:pPr>
        <w:ind w:left="3601" w:hanging="360"/>
      </w:pPr>
      <w:rPr>
        <w:u w:val="none"/>
      </w:rPr>
    </w:lvl>
    <w:lvl w:ilvl="5">
      <w:start w:val="1"/>
      <w:numFmt w:val="bullet"/>
      <w:lvlText w:val="▪"/>
      <w:lvlJc w:val="left"/>
      <w:pPr>
        <w:ind w:left="4321" w:hanging="360"/>
      </w:pPr>
      <w:rPr>
        <w:u w:val="none"/>
      </w:rPr>
    </w:lvl>
    <w:lvl w:ilvl="6">
      <w:start w:val="1"/>
      <w:numFmt w:val="bullet"/>
      <w:lvlText w:val="●"/>
      <w:lvlJc w:val="left"/>
      <w:pPr>
        <w:ind w:left="5041" w:hanging="360"/>
      </w:pPr>
      <w:rPr>
        <w:u w:val="none"/>
      </w:rPr>
    </w:lvl>
    <w:lvl w:ilvl="7">
      <w:start w:val="1"/>
      <w:numFmt w:val="bullet"/>
      <w:lvlText w:val="o"/>
      <w:lvlJc w:val="left"/>
      <w:pPr>
        <w:ind w:left="5761" w:hanging="360"/>
      </w:pPr>
      <w:rPr>
        <w:u w:val="none"/>
      </w:rPr>
    </w:lvl>
    <w:lvl w:ilvl="8">
      <w:start w:val="1"/>
      <w:numFmt w:val="bullet"/>
      <w:lvlText w:val="▪"/>
      <w:lvlJc w:val="left"/>
      <w:pPr>
        <w:ind w:left="6481" w:hanging="360"/>
      </w:pPr>
      <w:rPr>
        <w:u w:val="none"/>
      </w:rPr>
    </w:lvl>
  </w:abstractNum>
  <w:abstractNum w:abstractNumId="9" w15:restartNumberingAfterBreak="0">
    <w:nsid w:val="5D264265"/>
    <w:multiLevelType w:val="multilevel"/>
    <w:tmpl w:val="B4188122"/>
    <w:lvl w:ilvl="0">
      <w:start w:val="1"/>
      <w:numFmt w:val="bullet"/>
      <w:lvlText w:val="●"/>
      <w:lvlJc w:val="left"/>
      <w:pPr>
        <w:ind w:left="721" w:hanging="360"/>
      </w:pPr>
      <w:rPr>
        <w:u w:val="none"/>
      </w:rPr>
    </w:lvl>
    <w:lvl w:ilvl="1">
      <w:start w:val="1"/>
      <w:numFmt w:val="bullet"/>
      <w:lvlText w:val="o"/>
      <w:lvlJc w:val="left"/>
      <w:pPr>
        <w:ind w:left="1441" w:hanging="360"/>
      </w:pPr>
      <w:rPr>
        <w:u w:val="none"/>
      </w:rPr>
    </w:lvl>
    <w:lvl w:ilvl="2">
      <w:start w:val="1"/>
      <w:numFmt w:val="bullet"/>
      <w:lvlText w:val="▪"/>
      <w:lvlJc w:val="left"/>
      <w:pPr>
        <w:ind w:left="2161" w:hanging="360"/>
      </w:pPr>
      <w:rPr>
        <w:u w:val="none"/>
      </w:rPr>
    </w:lvl>
    <w:lvl w:ilvl="3">
      <w:start w:val="1"/>
      <w:numFmt w:val="bullet"/>
      <w:lvlText w:val="●"/>
      <w:lvlJc w:val="left"/>
      <w:pPr>
        <w:ind w:left="2881" w:hanging="360"/>
      </w:pPr>
      <w:rPr>
        <w:u w:val="none"/>
      </w:rPr>
    </w:lvl>
    <w:lvl w:ilvl="4">
      <w:start w:val="1"/>
      <w:numFmt w:val="bullet"/>
      <w:lvlText w:val="o"/>
      <w:lvlJc w:val="left"/>
      <w:pPr>
        <w:ind w:left="3601" w:hanging="360"/>
      </w:pPr>
      <w:rPr>
        <w:u w:val="none"/>
      </w:rPr>
    </w:lvl>
    <w:lvl w:ilvl="5">
      <w:start w:val="1"/>
      <w:numFmt w:val="bullet"/>
      <w:lvlText w:val="▪"/>
      <w:lvlJc w:val="left"/>
      <w:pPr>
        <w:ind w:left="4321" w:hanging="360"/>
      </w:pPr>
      <w:rPr>
        <w:u w:val="none"/>
      </w:rPr>
    </w:lvl>
    <w:lvl w:ilvl="6">
      <w:start w:val="1"/>
      <w:numFmt w:val="bullet"/>
      <w:lvlText w:val="●"/>
      <w:lvlJc w:val="left"/>
      <w:pPr>
        <w:ind w:left="5041" w:hanging="360"/>
      </w:pPr>
      <w:rPr>
        <w:u w:val="none"/>
      </w:rPr>
    </w:lvl>
    <w:lvl w:ilvl="7">
      <w:start w:val="1"/>
      <w:numFmt w:val="bullet"/>
      <w:lvlText w:val="o"/>
      <w:lvlJc w:val="left"/>
      <w:pPr>
        <w:ind w:left="5761" w:hanging="360"/>
      </w:pPr>
      <w:rPr>
        <w:u w:val="none"/>
      </w:rPr>
    </w:lvl>
    <w:lvl w:ilvl="8">
      <w:start w:val="1"/>
      <w:numFmt w:val="bullet"/>
      <w:lvlText w:val="▪"/>
      <w:lvlJc w:val="left"/>
      <w:pPr>
        <w:ind w:left="6481" w:hanging="360"/>
      </w:pPr>
      <w:rPr>
        <w:u w:val="none"/>
      </w:rPr>
    </w:lvl>
  </w:abstractNum>
  <w:abstractNum w:abstractNumId="10" w15:restartNumberingAfterBreak="0">
    <w:nsid w:val="643062E3"/>
    <w:multiLevelType w:val="multilevel"/>
    <w:tmpl w:val="D870C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DC870E9"/>
    <w:multiLevelType w:val="multilevel"/>
    <w:tmpl w:val="CBAAF0D8"/>
    <w:lvl w:ilvl="0">
      <w:start w:val="1"/>
      <w:numFmt w:val="bullet"/>
      <w:lvlText w:val="●"/>
      <w:lvlJc w:val="left"/>
      <w:pPr>
        <w:ind w:left="721" w:hanging="360"/>
      </w:pPr>
      <w:rPr>
        <w:u w:val="none"/>
      </w:rPr>
    </w:lvl>
    <w:lvl w:ilvl="1">
      <w:start w:val="1"/>
      <w:numFmt w:val="bullet"/>
      <w:lvlText w:val="o"/>
      <w:lvlJc w:val="left"/>
      <w:pPr>
        <w:ind w:left="1441" w:hanging="360"/>
      </w:pPr>
      <w:rPr>
        <w:u w:val="none"/>
      </w:rPr>
    </w:lvl>
    <w:lvl w:ilvl="2">
      <w:start w:val="1"/>
      <w:numFmt w:val="bullet"/>
      <w:lvlText w:val="▪"/>
      <w:lvlJc w:val="left"/>
      <w:pPr>
        <w:ind w:left="2161" w:hanging="360"/>
      </w:pPr>
      <w:rPr>
        <w:u w:val="none"/>
      </w:rPr>
    </w:lvl>
    <w:lvl w:ilvl="3">
      <w:start w:val="1"/>
      <w:numFmt w:val="bullet"/>
      <w:lvlText w:val="●"/>
      <w:lvlJc w:val="left"/>
      <w:pPr>
        <w:ind w:left="2881" w:hanging="360"/>
      </w:pPr>
      <w:rPr>
        <w:u w:val="none"/>
      </w:rPr>
    </w:lvl>
    <w:lvl w:ilvl="4">
      <w:start w:val="1"/>
      <w:numFmt w:val="bullet"/>
      <w:lvlText w:val="o"/>
      <w:lvlJc w:val="left"/>
      <w:pPr>
        <w:ind w:left="3601" w:hanging="360"/>
      </w:pPr>
      <w:rPr>
        <w:u w:val="none"/>
      </w:rPr>
    </w:lvl>
    <w:lvl w:ilvl="5">
      <w:start w:val="1"/>
      <w:numFmt w:val="bullet"/>
      <w:lvlText w:val="▪"/>
      <w:lvlJc w:val="left"/>
      <w:pPr>
        <w:ind w:left="4321" w:hanging="360"/>
      </w:pPr>
      <w:rPr>
        <w:u w:val="none"/>
      </w:rPr>
    </w:lvl>
    <w:lvl w:ilvl="6">
      <w:start w:val="1"/>
      <w:numFmt w:val="bullet"/>
      <w:lvlText w:val="●"/>
      <w:lvlJc w:val="left"/>
      <w:pPr>
        <w:ind w:left="5041" w:hanging="360"/>
      </w:pPr>
      <w:rPr>
        <w:u w:val="none"/>
      </w:rPr>
    </w:lvl>
    <w:lvl w:ilvl="7">
      <w:start w:val="1"/>
      <w:numFmt w:val="bullet"/>
      <w:lvlText w:val="o"/>
      <w:lvlJc w:val="left"/>
      <w:pPr>
        <w:ind w:left="5761" w:hanging="360"/>
      </w:pPr>
      <w:rPr>
        <w:u w:val="none"/>
      </w:rPr>
    </w:lvl>
    <w:lvl w:ilvl="8">
      <w:start w:val="1"/>
      <w:numFmt w:val="bullet"/>
      <w:lvlText w:val="▪"/>
      <w:lvlJc w:val="left"/>
      <w:pPr>
        <w:ind w:left="6481" w:hanging="360"/>
      </w:pPr>
      <w:rPr>
        <w:u w:val="none"/>
      </w:rPr>
    </w:lvl>
  </w:abstractNum>
  <w:num w:numId="1">
    <w:abstractNumId w:val="9"/>
  </w:num>
  <w:num w:numId="2">
    <w:abstractNumId w:val="5"/>
  </w:num>
  <w:num w:numId="3">
    <w:abstractNumId w:val="8"/>
  </w:num>
  <w:num w:numId="4">
    <w:abstractNumId w:val="2"/>
  </w:num>
  <w:num w:numId="5">
    <w:abstractNumId w:val="7"/>
  </w:num>
  <w:num w:numId="6">
    <w:abstractNumId w:val="10"/>
  </w:num>
  <w:num w:numId="7">
    <w:abstractNumId w:val="11"/>
  </w:num>
  <w:num w:numId="8">
    <w:abstractNumId w:val="3"/>
  </w:num>
  <w:num w:numId="9">
    <w:abstractNumId w:val="1"/>
  </w:num>
  <w:num w:numId="10">
    <w:abstractNumId w:val="6"/>
  </w:num>
  <w:num w:numId="11">
    <w:abstractNumId w:val="0"/>
  </w:num>
  <w:num w:numId="12">
    <w:abstractNumId w:val="4"/>
  </w:num>
  <w:num w:numId="13">
    <w:abstractNumId w:val="3"/>
    <w:lvlOverride w:ilvl="0">
      <w:startOverride w:val="1"/>
    </w:lvlOverride>
  </w:num>
  <w:num w:numId="14">
    <w:abstractNumId w:val="1"/>
    <w:lvlOverride w:ilvl="0">
      <w:startOverride w:val="1"/>
    </w:lvlOverride>
  </w:num>
  <w:num w:numId="15">
    <w:abstractNumId w:val="4"/>
    <w:lvlOverride w:ilvl="0">
      <w:startOverride w:val="1"/>
    </w:lvlOverride>
  </w:num>
  <w:num w:numId="16">
    <w:abstractNumId w:val="8"/>
    <w:lvlOverride w:ilvl="0">
      <w:startOverride w:val="1"/>
    </w:lvlOverride>
  </w:num>
  <w:num w:numId="17">
    <w:abstractNumId w:val="5"/>
    <w:lvlOverride w:ilvl="0">
      <w:startOverride w:val="1"/>
    </w:lvlOverride>
  </w:num>
  <w:num w:numId="18">
    <w:abstractNumId w:val="0"/>
    <w:lvlOverride w:ilvl="0">
      <w:startOverride w:val="1"/>
    </w:lvlOverride>
  </w:num>
  <w:num w:numId="19">
    <w:abstractNumId w:val="10"/>
    <w:lvlOverride w:ilvl="0">
      <w:startOverride w:val="1"/>
    </w:lvlOverride>
  </w:num>
  <w:num w:numId="20">
    <w:abstractNumId w:val="9"/>
    <w:lvlOverride w:ilvl="0">
      <w:startOverride w:val="1"/>
    </w:lvlOverride>
  </w:num>
  <w:num w:numId="21">
    <w:abstractNumId w:val="2"/>
    <w:lvlOverride w:ilvl="0">
      <w:startOverride w:val="1"/>
    </w:lvlOverride>
  </w:num>
  <w:num w:numId="22">
    <w:abstractNumId w:val="11"/>
    <w:lvlOverride w:ilvl="0">
      <w:startOverride w:val="1"/>
    </w:lvlOverride>
  </w:num>
  <w:num w:numId="23">
    <w:abstractNumId w:val="7"/>
    <w:lvlOverride w:ilvl="0">
      <w:startOverride w:val="1"/>
    </w:lvlOverride>
  </w:num>
  <w:num w:numId="24">
    <w:abstractNumId w:val="6"/>
    <w:lvlOverride w:ilvl="0">
      <w:startOverride w:val="1"/>
    </w:lvlOverride>
  </w:num>
  <w:num w:numId="25">
    <w:abstractNumId w:val="0"/>
    <w:lvlOverride w:ilvl="0">
      <w:startOverride w:val="1"/>
    </w:lvlOverride>
  </w:num>
  <w:num w:numId="26">
    <w:abstractNumId w:val="10"/>
    <w:lvlOverride w:ilvl="0">
      <w:startOverride w:val="1"/>
    </w:lvlOverride>
  </w:num>
  <w:num w:numId="2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22"/>
    <w:rsid w:val="000B4BE1"/>
    <w:rsid w:val="000C0EC7"/>
    <w:rsid w:val="00160D9E"/>
    <w:rsid w:val="001B4DE8"/>
    <w:rsid w:val="00325422"/>
    <w:rsid w:val="003E754E"/>
    <w:rsid w:val="0041308D"/>
    <w:rsid w:val="004D621E"/>
    <w:rsid w:val="006051DE"/>
    <w:rsid w:val="00641C32"/>
    <w:rsid w:val="00662E4B"/>
    <w:rsid w:val="006F1E61"/>
    <w:rsid w:val="006F4F7C"/>
    <w:rsid w:val="008B02E1"/>
    <w:rsid w:val="008D09E7"/>
    <w:rsid w:val="00916751"/>
    <w:rsid w:val="00B06052"/>
    <w:rsid w:val="00DB77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DBB59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80" w:after="120"/>
      <w:outlineLvl w:val="0"/>
    </w:pPr>
    <w:rPr>
      <w:b/>
      <w:bCs/>
      <w:sz w:val="48"/>
      <w:szCs w:val="48"/>
    </w:rPr>
  </w:style>
  <w:style w:type="paragraph" w:styleId="Nagwek2">
    <w:name w:val="heading 2"/>
    <w:basedOn w:val="Normalny"/>
    <w:next w:val="Normalny"/>
    <w:pPr>
      <w:keepNext/>
      <w:keepLines/>
      <w:spacing w:before="360" w:after="80"/>
      <w:outlineLvl w:val="1"/>
    </w:pPr>
    <w:rPr>
      <w:b/>
      <w:bCs/>
      <w:sz w:val="36"/>
      <w:szCs w:val="36"/>
    </w:rPr>
  </w:style>
  <w:style w:type="paragraph" w:styleId="Nagwek3">
    <w:name w:val="heading 3"/>
    <w:basedOn w:val="Normalny"/>
    <w:next w:val="Normalny"/>
    <w:pPr>
      <w:keepNext/>
      <w:keepLines/>
      <w:spacing w:before="280" w:after="80"/>
      <w:outlineLvl w:val="2"/>
    </w:pPr>
    <w:rPr>
      <w:b/>
      <w:bCs/>
      <w:sz w:val="28"/>
      <w:szCs w:val="28"/>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spacing w:before="220" w:after="40"/>
      <w:outlineLvl w:val="4"/>
    </w:pPr>
    <w:rPr>
      <w:b/>
      <w:bCs/>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325422"/>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6F4F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F7C"/>
    <w:rPr>
      <w:rFonts w:ascii="Arial" w:eastAsia="Arial" w:hAnsi="Arial" w:cs="Arial"/>
      <w:color w:val="000000"/>
      <w:lang w:eastAsia="pl-PL"/>
    </w:rPr>
  </w:style>
  <w:style w:type="paragraph" w:styleId="Stopka">
    <w:name w:val="footer"/>
    <w:basedOn w:val="Normalny"/>
    <w:link w:val="StopkaZnak"/>
    <w:uiPriority w:val="99"/>
    <w:unhideWhenUsed/>
    <w:rsid w:val="006F4F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F7C"/>
    <w:rPr>
      <w:rFonts w:ascii="Arial" w:eastAsia="Arial" w:hAnsi="Arial" w:cs="Arial"/>
      <w:color w:val="000000"/>
      <w:lang w:eastAsia="pl-PL"/>
    </w:rPr>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paragraph" w:styleId="HTML-wstpniesformatowany">
    <w:name w:val="HTML Preformatted"/>
    <w:basedOn w:val="Normalny"/>
    <w:link w:val="HTML-wstpniesformatowanyZnak"/>
    <w:uiPriority w:val="99"/>
    <w:semiHidden/>
    <w:unhideWhenUsed/>
    <w:rsid w:val="00264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2645A6"/>
    <w:rPr>
      <w:rFonts w:ascii="Courier New" w:eastAsia="Times New Roman" w:hAnsi="Courier New" w:cs="Courier New"/>
      <w:sz w:val="20"/>
      <w:szCs w:val="20"/>
      <w:lang w:eastAsia="pl-PL"/>
    </w:rPr>
  </w:style>
  <w:style w:type="character" w:customStyle="1" w:styleId="y2iqfc">
    <w:name w:val="y2iqfc"/>
    <w:basedOn w:val="Domylnaczcionkaakapitu"/>
    <w:rsid w:val="002645A6"/>
  </w:style>
  <w:style w:type="paragraph" w:styleId="Akapitzlist">
    <w:name w:val="List Paragraph"/>
    <w:basedOn w:val="Normalny"/>
    <w:uiPriority w:val="34"/>
    <w:qFormat/>
    <w:rsid w:val="00A92E24"/>
    <w:pPr>
      <w:ind w:left="720"/>
      <w:contextualSpacing/>
    </w:pPr>
  </w:style>
  <w:style w:type="table" w:customStyle="1" w:styleId="a">
    <w:basedOn w:val="TableNormal"/>
    <w:pPr>
      <w:spacing w:after="0" w:line="240" w:lineRule="auto"/>
    </w:pPr>
    <w:tblPr>
      <w:tblStyleRowBandSize w:val="1"/>
      <w:tblStyleColBandSize w:val="1"/>
      <w:tblCellMar>
        <w:left w:w="106" w:type="dxa"/>
        <w:right w:w="115" w:type="dxa"/>
      </w:tblCellMar>
    </w:tblPr>
  </w:style>
  <w:style w:type="table" w:customStyle="1" w:styleId="a0">
    <w:basedOn w:val="TableNormal"/>
    <w:pPr>
      <w:spacing w:after="0" w:line="240" w:lineRule="auto"/>
    </w:pPr>
    <w:tblPr>
      <w:tblStyleRowBandSize w:val="1"/>
      <w:tblStyleColBandSize w:val="1"/>
      <w:tblCellMar>
        <w:top w:w="4" w:type="dxa"/>
        <w:left w:w="106" w:type="dxa"/>
        <w:right w:w="115" w:type="dxa"/>
      </w:tblCellMar>
    </w:tblPr>
  </w:style>
  <w:style w:type="table" w:customStyle="1" w:styleId="a1">
    <w:basedOn w:val="TableNormal"/>
    <w:pPr>
      <w:spacing w:after="0" w:line="240" w:lineRule="auto"/>
    </w:pPr>
    <w:tblPr>
      <w:tblStyleRowBandSize w:val="1"/>
      <w:tblStyleColBandSize w:val="1"/>
      <w:tblCellMar>
        <w:top w:w="4" w:type="dxa"/>
        <w:left w:w="106" w:type="dxa"/>
        <w:right w:w="115" w:type="dxa"/>
      </w:tblCellMar>
    </w:tblPr>
  </w:style>
  <w:style w:type="character" w:styleId="Odwoaniedokomentarza">
    <w:name w:val="annotation reference"/>
    <w:basedOn w:val="Domylnaczcionkaakapitu"/>
    <w:uiPriority w:val="99"/>
    <w:semiHidden/>
    <w:unhideWhenUsed/>
    <w:rsid w:val="005718AD"/>
    <w:rPr>
      <w:sz w:val="16"/>
      <w:szCs w:val="16"/>
    </w:rPr>
  </w:style>
  <w:style w:type="paragraph" w:styleId="Tekstkomentarza">
    <w:name w:val="annotation text"/>
    <w:basedOn w:val="Normalny"/>
    <w:link w:val="TekstkomentarzaZnak"/>
    <w:uiPriority w:val="99"/>
    <w:semiHidden/>
    <w:unhideWhenUsed/>
    <w:rsid w:val="005718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718AD"/>
    <w:rPr>
      <w:color w:val="000000"/>
      <w:sz w:val="20"/>
      <w:szCs w:val="20"/>
    </w:rPr>
  </w:style>
  <w:style w:type="paragraph" w:styleId="Tematkomentarza">
    <w:name w:val="annotation subject"/>
    <w:basedOn w:val="Tekstkomentarza"/>
    <w:next w:val="Tekstkomentarza"/>
    <w:link w:val="TematkomentarzaZnak"/>
    <w:uiPriority w:val="99"/>
    <w:semiHidden/>
    <w:unhideWhenUsed/>
    <w:rsid w:val="005718AD"/>
    <w:rPr>
      <w:b/>
      <w:bCs/>
    </w:rPr>
  </w:style>
  <w:style w:type="character" w:customStyle="1" w:styleId="TematkomentarzaZnak">
    <w:name w:val="Temat komentarza Znak"/>
    <w:basedOn w:val="TekstkomentarzaZnak"/>
    <w:link w:val="Tematkomentarza"/>
    <w:uiPriority w:val="99"/>
    <w:semiHidden/>
    <w:rsid w:val="005718AD"/>
    <w:rPr>
      <w:b/>
      <w:bCs/>
      <w:color w:val="000000"/>
      <w:sz w:val="20"/>
      <w:szCs w:val="20"/>
    </w:rPr>
  </w:style>
  <w:style w:type="paragraph" w:styleId="Poprawka">
    <w:name w:val="Revision"/>
    <w:hidden/>
    <w:uiPriority w:val="99"/>
    <w:semiHidden/>
    <w:rsid w:val="00DB0A44"/>
    <w:pPr>
      <w:spacing w:after="0" w:line="240" w:lineRule="auto"/>
    </w:pPr>
    <w:rPr>
      <w:color w:val="000000"/>
    </w:r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 w:type="table" w:customStyle="1" w:styleId="a2">
    <w:basedOn w:val="TableNormal"/>
    <w:pPr>
      <w:spacing w:after="0" w:line="240" w:lineRule="auto"/>
    </w:pPr>
    <w:tblPr>
      <w:tblStyleRowBandSize w:val="1"/>
      <w:tblStyleColBandSize w:val="1"/>
      <w:tblCellMar>
        <w:top w:w="0" w:type="dxa"/>
        <w:left w:w="106" w:type="dxa"/>
        <w:bottom w:w="0" w:type="dxa"/>
        <w:right w:w="115" w:type="dxa"/>
      </w:tblCellMar>
    </w:tblPr>
  </w:style>
  <w:style w:type="table" w:customStyle="1" w:styleId="a3">
    <w:basedOn w:val="TableNormal"/>
    <w:pPr>
      <w:spacing w:after="0" w:line="240" w:lineRule="auto"/>
    </w:pPr>
    <w:tblPr>
      <w:tblStyleRowBandSize w:val="1"/>
      <w:tblStyleColBandSize w:val="1"/>
      <w:tblCellMar>
        <w:top w:w="4" w:type="dxa"/>
        <w:left w:w="106"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rl.europa.eu/RegData/etudes/BRIE/2024/762308/EPRS_BRI%282024%29762308_EN.pdf?utm_source=chatgpt.com" TargetMode="External"/><Relationship Id="rId13" Type="http://schemas.openxmlformats.org/officeDocument/2006/relationships/hyperlink" Target="https://doi.org/10.3390/jrfm15120566" TargetMode="External"/><Relationship Id="rId18" Type="http://schemas.openxmlformats.org/officeDocument/2006/relationships/hyperlink" Target="https://www.europarl.europa.eu/RegData/etudes/BRIE/2024/762308/EPRS_BRI%282024%29762308_EN.pdf?utm_source=chatgpt.com" TargetMode="External"/><Relationship Id="rId26" Type="http://schemas.openxmlformats.org/officeDocument/2006/relationships/hyperlink" Target="https://doi.org/10.3390/fintech3010011" TargetMode="External"/><Relationship Id="rId3" Type="http://schemas.openxmlformats.org/officeDocument/2006/relationships/settings" Target="settings.xml"/><Relationship Id="rId21" Type="http://schemas.openxmlformats.org/officeDocument/2006/relationships/hyperlink" Target="https://doi.org/10.3390/jrfm14060280" TargetMode="External"/><Relationship Id="rId7" Type="http://schemas.openxmlformats.org/officeDocument/2006/relationships/hyperlink" Target="https://www.europarl.europa.eu/RegData/etudes/BRIE/2024/762308/EPRS_BRI%282024%29762308_EN.pdf?utm_source=chatgpt.com" TargetMode="External"/><Relationship Id="rId12" Type="http://schemas.openxmlformats.org/officeDocument/2006/relationships/hyperlink" Target="https://doi.org/10.3390/jrfm14060280" TargetMode="External"/><Relationship Id="rId17" Type="http://schemas.openxmlformats.org/officeDocument/2006/relationships/hyperlink" Target="https://www.europarl.europa.eu/RegData/etudes/BRIE/2024/762308/EPRS_BRI%282024%29762308_EN.pdf?utm_source=chatgpt.com" TargetMode="External"/><Relationship Id="rId25" Type="http://schemas.openxmlformats.org/officeDocument/2006/relationships/hyperlink" Target="https://doi.org/10.3390/fintech3010011" TargetMode="External"/><Relationship Id="rId2" Type="http://schemas.openxmlformats.org/officeDocument/2006/relationships/styles" Target="styles.xml"/><Relationship Id="rId16" Type="http://schemas.openxmlformats.org/officeDocument/2006/relationships/hyperlink" Target="https://doi.org/10.3390/fintech3010011" TargetMode="External"/><Relationship Id="rId20" Type="http://schemas.openxmlformats.org/officeDocument/2006/relationships/hyperlink" Target="https://doi.org/10.1108/CEMJ-10-2024-029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jrfm14060280" TargetMode="External"/><Relationship Id="rId24" Type="http://schemas.openxmlformats.org/officeDocument/2006/relationships/hyperlink" Target="https://doi.org/10.3390/jrfm15120566" TargetMode="External"/><Relationship Id="rId5" Type="http://schemas.openxmlformats.org/officeDocument/2006/relationships/footnotes" Target="footnotes.xml"/><Relationship Id="rId15" Type="http://schemas.openxmlformats.org/officeDocument/2006/relationships/hyperlink" Target="https://doi.org/10.3390/fintech3010011" TargetMode="External"/><Relationship Id="rId23" Type="http://schemas.openxmlformats.org/officeDocument/2006/relationships/hyperlink" Target="https://doi.org/10.3390/jrfm15120566" TargetMode="External"/><Relationship Id="rId28" Type="http://schemas.openxmlformats.org/officeDocument/2006/relationships/theme" Target="theme/theme1.xml"/><Relationship Id="rId10" Type="http://schemas.openxmlformats.org/officeDocument/2006/relationships/hyperlink" Target="https://doi.org/10.1108/CEMJ-10-2024-0297" TargetMode="External"/><Relationship Id="rId19" Type="http://schemas.openxmlformats.org/officeDocument/2006/relationships/hyperlink" Target="https://doi.org/10.1108/CEMJ-10-2024-0297" TargetMode="External"/><Relationship Id="rId4" Type="http://schemas.openxmlformats.org/officeDocument/2006/relationships/webSettings" Target="webSettings.xml"/><Relationship Id="rId9" Type="http://schemas.openxmlformats.org/officeDocument/2006/relationships/hyperlink" Target="https://doi.org/10.1108/CEMJ-10-2024-0297" TargetMode="External"/><Relationship Id="rId14" Type="http://schemas.openxmlformats.org/officeDocument/2006/relationships/hyperlink" Target="https://doi.org/10.3390/jrfm15120566" TargetMode="External"/><Relationship Id="rId22" Type="http://schemas.openxmlformats.org/officeDocument/2006/relationships/hyperlink" Target="https://doi.org/10.3390/jrfm14060280"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2192</Words>
  <Characters>13155</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Regulating (Fin)tech Markets – 2026/2027</dc:title>
  <dc:subject>Winter semester 2026/2027</dc:subject>
  <dc:creator/>
  <cp:keywords/>
  <dc:description/>
  <cp:lastModifiedBy/>
  <cp:revision>1</cp:revision>
  <dcterms:created xsi:type="dcterms:W3CDTF">2026-10-22T14:05:00Z</dcterms:created>
  <dcterms:modified xsi:type="dcterms:W3CDTF">2026-10-22T14:05:00Z</dcterms:modified>
</cp:coreProperties>
</file>